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28"/>
        </w:rPr>
        <w:t>RIVERBEND HEALTH SYSTEM</w:t>
      </w:r>
    </w:p>
    <w:p>
      <w:pPr>
        <w:jc w:val="center"/>
      </w:pPr>
      <w:r>
        <w:rPr>
          <w:b/>
          <w:sz w:val="26"/>
        </w:rPr>
        <w:t>POLICY: Patient Billing, Payment Plans, Financial Assistance, and Billing Disputes</w:t>
      </w:r>
    </w:p>
    <w:tbl>
      <w:tblPr>
        <w:tblStyle w:val="TableGrid"/>
        <w:tblW w:type="auto" w:w="0"/>
        <w:tblLook w:firstColumn="1" w:firstRow="1" w:lastColumn="0" w:lastRow="0" w:noHBand="0" w:noVBand="1" w:val="04A0"/>
      </w:tblPr>
      <w:tblGrid>
        <w:gridCol w:w="4320"/>
        <w:gridCol w:w="4320"/>
      </w:tblGrid>
      <w:tr>
        <w:tc>
          <w:tcPr>
            <w:tcW w:type="dxa" w:w="4320"/>
          </w:tcPr>
          <w:p>
            <w:r>
              <w:rPr>
                <w:b/>
              </w:rPr>
              <w:t>Policy Number</w:t>
            </w:r>
          </w:p>
        </w:tc>
        <w:tc>
          <w:tcPr>
            <w:tcW w:type="dxa" w:w="4320"/>
          </w:tcPr>
          <w:p>
            <w:r>
              <w:t>PFS-150</w:t>
            </w:r>
          </w:p>
        </w:tc>
      </w:tr>
      <w:tr>
        <w:tc>
          <w:tcPr>
            <w:tcW w:type="dxa" w:w="4320"/>
          </w:tcPr>
          <w:p>
            <w:r>
              <w:rPr>
                <w:b/>
              </w:rPr>
              <w:t>Department</w:t>
            </w:r>
          </w:p>
        </w:tc>
        <w:tc>
          <w:tcPr>
            <w:tcW w:type="dxa" w:w="4320"/>
          </w:tcPr>
          <w:p>
            <w:r>
              <w:t>Patient Financial Services (PFS)</w:t>
            </w:r>
          </w:p>
        </w:tc>
      </w:tr>
      <w:tr>
        <w:tc>
          <w:tcPr>
            <w:tcW w:type="dxa" w:w="4320"/>
          </w:tcPr>
          <w:p>
            <w:r>
              <w:rPr>
                <w:b/>
              </w:rPr>
              <w:t>Policy Owner</w:t>
            </w:r>
          </w:p>
        </w:tc>
        <w:tc>
          <w:tcPr>
            <w:tcW w:type="dxa" w:w="4320"/>
          </w:tcPr>
          <w:p>
            <w:r>
              <w:t>Director, Patient Financial Services</w:t>
            </w:r>
          </w:p>
        </w:tc>
      </w:tr>
      <w:tr>
        <w:tc>
          <w:tcPr>
            <w:tcW w:type="dxa" w:w="4320"/>
          </w:tcPr>
          <w:p>
            <w:r>
              <w:rPr>
                <w:b/>
              </w:rPr>
              <w:t>Approved By</w:t>
            </w:r>
          </w:p>
        </w:tc>
        <w:tc>
          <w:tcPr>
            <w:tcW w:type="dxa" w:w="4320"/>
          </w:tcPr>
          <w:p>
            <w:r>
              <w:t>Chief Financial Officer; Compliance Officer</w:t>
            </w:r>
          </w:p>
        </w:tc>
      </w:tr>
      <w:tr>
        <w:tc>
          <w:tcPr>
            <w:tcW w:type="dxa" w:w="4320"/>
          </w:tcPr>
          <w:p>
            <w:r>
              <w:rPr>
                <w:b/>
              </w:rPr>
              <w:t>Effective Date</w:t>
            </w:r>
          </w:p>
        </w:tc>
        <w:tc>
          <w:tcPr>
            <w:tcW w:type="dxa" w:w="4320"/>
          </w:tcPr>
          <w:p>
            <w:r>
              <w:t>01/01/2025</w:t>
            </w:r>
          </w:p>
        </w:tc>
      </w:tr>
      <w:tr>
        <w:tc>
          <w:tcPr>
            <w:tcW w:type="dxa" w:w="4320"/>
          </w:tcPr>
          <w:p>
            <w:r>
              <w:rPr>
                <w:b/>
              </w:rPr>
              <w:t>Last Reviewed</w:t>
            </w:r>
          </w:p>
        </w:tc>
        <w:tc>
          <w:tcPr>
            <w:tcW w:type="dxa" w:w="4320"/>
          </w:tcPr>
          <w:p>
            <w:r>
              <w:t>01/01/2026</w:t>
            </w:r>
          </w:p>
        </w:tc>
      </w:tr>
      <w:tr>
        <w:tc>
          <w:tcPr>
            <w:tcW w:type="dxa" w:w="4320"/>
          </w:tcPr>
          <w:p>
            <w:r>
              <w:rPr>
                <w:b/>
              </w:rPr>
              <w:t>Next Review</w:t>
            </w:r>
          </w:p>
        </w:tc>
        <w:tc>
          <w:tcPr>
            <w:tcW w:type="dxa" w:w="4320"/>
          </w:tcPr>
          <w:p>
            <w:r>
              <w:t>01/01/2027</w:t>
            </w:r>
          </w:p>
        </w:tc>
      </w:tr>
    </w:tbl>
    <w:p>
      <w:r>
        <w:t>PFS-150 | Patient Billing, Payment Plans, Financial Assistance, and Billing Disputes | Effective 01/01/2025</w:t>
      </w:r>
    </w:p>
    <w:p>
      <w:r>
        <w:rPr>
          <w:b/>
          <w:color w:val="1F3A5F"/>
          <w:sz w:val="24"/>
        </w:rPr>
        <w:t>1. PURPOSE</w:t>
      </w:r>
    </w:p>
    <w:p>
      <w:r>
        <w:t>To explain how Riverbend bills patients, the payment options available, how patients can get help paying, and how billing questions and disputes are resolved.</w:t>
      </w:r>
    </w:p>
    <w:p>
      <w:r>
        <w:rPr>
          <w:b/>
          <w:color w:val="1F3A5F"/>
          <w:sz w:val="24"/>
        </w:rPr>
        <w:t>2. SCOPE</w:t>
      </w:r>
    </w:p>
    <w:p>
      <w:r>
        <w:t>Applies to Patient Financial Services, front desk staff, and patient support staff who answer billing questions.</w:t>
      </w:r>
    </w:p>
    <w:p>
      <w:r>
        <w:rPr>
          <w:b/>
          <w:color w:val="1F3A5F"/>
          <w:sz w:val="24"/>
        </w:rPr>
        <w:t>3. DEFINITIONS</w:t>
      </w:r>
    </w:p>
    <w:p>
      <w:pPr>
        <w:pStyle w:val="ListBullet"/>
      </w:pPr>
      <w:r>
        <w:t>Statement: The bill Riverbend sends to the patient for the amount the patient owes after insurance.</w:t>
      </w:r>
    </w:p>
    <w:p>
      <w:pPr>
        <w:pStyle w:val="ListBullet"/>
      </w:pPr>
      <w:r>
        <w:t>Explanation of Benefits (EOB): A notice from the insurance company explaining what it paid. An EOB is not a bill.</w:t>
      </w:r>
    </w:p>
    <w:p>
      <w:pPr>
        <w:pStyle w:val="ListBullet"/>
      </w:pPr>
      <w:r>
        <w:t>Good Faith Estimate: A written estimate of expected charges, provided to uninsured or self-pay patients.</w:t>
      </w:r>
    </w:p>
    <w:p>
      <w:pPr>
        <w:pStyle w:val="ListBullet"/>
      </w:pPr>
      <w:r>
        <w:t>Itemized Bill: A detailed list of every service and charge on an account.</w:t>
      </w:r>
    </w:p>
    <w:p>
      <w:r>
        <w:rPr>
          <w:b/>
          <w:color w:val="1F3A5F"/>
          <w:sz w:val="24"/>
        </w:rPr>
        <w:t>4. POLICY</w:t>
      </w:r>
    </w:p>
    <w:p>
      <w:r>
        <w:t>4.1 Statements are sent monthly through the Patient Portal and by mail, after insurance has processed the claim.</w:t>
      </w:r>
    </w:p>
    <w:p>
      <w:r>
        <w:t>4.2 Billing questions sent by email or Patient Portal message receive a response within 3 business days.</w:t>
      </w:r>
    </w:p>
    <w:p>
      <w:r>
        <w:t>4.3 Payment methods: Patient Portal (credit card, debit card, HSA/FSA card), phone, mail (check), or in person at any front desk.</w:t>
      </w:r>
    </w:p>
    <w:p>
      <w:r>
        <w:t>4.4 Payment plans: Patients with a balance of $200 or more may set up an interest-free payment plan of up to 12 months, with a minimum monthly payment of $25. Longer plans may be approved by a PFS supervisor. Payment plans can be set up through the Patient Portal or by calling PFS.</w:t>
      </w:r>
    </w:p>
    <w:p>
      <w:r>
        <w:t>4.5 Financial assistance: Patients with household income up to 400% of the Federal Poverty Guidelines may qualify for discounted or free care. Applications are available in the Patient Portal, at any front desk, or by calling PFS. Decisions are made within 30 days of a complete application.</w:t>
      </w:r>
    </w:p>
    <w:p>
      <w:r>
        <w:t>4.6 Accounts are not sent to a collection agency while a billing dispute, insurance appeal, or financial assistance application is in progress, and never earlier than 120 days after the first statement.</w:t>
      </w:r>
    </w:p>
    <w:p>
      <w:r>
        <w:rPr>
          <w:b/>
          <w:color w:val="1F3A5F"/>
          <w:sz w:val="24"/>
        </w:rPr>
        <w:t>5. PROCEDURE</w:t>
      </w:r>
    </w:p>
    <w:p>
      <w:r>
        <w:rPr>
          <w:b/>
        </w:rPr>
        <w:t>5.1 Bill higher than expected or higher than the estimate</w:t>
      </w:r>
    </w:p>
    <w:p>
      <w:pPr>
        <w:pStyle w:val="ListBullet"/>
      </w:pPr>
      <w:r>
        <w:t>Estimates are based on the services expected at the time of scheduling. The final bill may differ if additional services were needed or if insurance paid less than expected.</w:t>
      </w:r>
    </w:p>
    <w:p>
      <w:pPr>
        <w:pStyle w:val="ListBullet"/>
      </w:pPr>
      <w:r>
        <w:t>Patients may request an itemized bill and a review of the account. PFS explains each charge and how insurance processed the claim.</w:t>
      </w:r>
    </w:p>
    <w:p>
      <w:pPr>
        <w:pStyle w:val="ListBullet"/>
      </w:pPr>
      <w:r>
        <w:t>Uninsured or self-pay patients whose bill is at least $400 more than their Good Faith Estimate may also use the federal patient-provider dispute resolution process.</w:t>
      </w:r>
    </w:p>
    <w:p>
      <w:r>
        <w:rPr>
          <w:b/>
        </w:rPr>
        <w:t>5.2 Duplicate charges or charged twice</w:t>
      </w:r>
    </w:p>
    <w:p>
      <w:pPr>
        <w:pStyle w:val="ListBullet"/>
      </w:pPr>
      <w:r>
        <w:t>The patient reports the date of service and the charges in question.</w:t>
      </w:r>
    </w:p>
    <w:p>
      <w:pPr>
        <w:pStyle w:val="ListBullet"/>
      </w:pPr>
      <w:r>
        <w:t>PFS reviews the account within 10 business days. Confirmed duplicate charges are removed, and any overpayment is refunded within 30 days to the original payment method.</w:t>
      </w:r>
    </w:p>
    <w:p>
      <w:r>
        <w:rPr>
          <w:b/>
        </w:rPr>
        <w:t>5.3 Billing disputes</w:t>
      </w:r>
    </w:p>
    <w:p>
      <w:pPr>
        <w:pStyle w:val="ListBullet"/>
      </w:pPr>
      <w:r>
        <w:t>PFS records the disputed charge, the date of service, and the patient's concern, places the account on hold, and responds in writing within 30 days.</w:t>
      </w:r>
    </w:p>
    <w:p>
      <w:pPr>
        <w:pStyle w:val="ListBullet"/>
      </w:pPr>
      <w:r>
        <w:t>Staff may not promise refunds, discounts, or write-offs before PFS review and approval.</w:t>
      </w:r>
    </w:p>
    <w:p>
      <w:r>
        <w:rPr>
          <w:b/>
        </w:rPr>
        <w:t>5.4 Privacy</w:t>
      </w:r>
    </w:p>
    <w:p>
      <w:pPr>
        <w:pStyle w:val="ListBullet"/>
      </w:pPr>
      <w:r>
        <w:t>Staff verify the patient's identity before discussing account details. Account details are shared only through the Patient Portal, by phone after verification, or by mail.</w:t>
      </w:r>
    </w:p>
    <w:p>
      <w:r>
        <w:rPr>
          <w:b/>
          <w:color w:val="1F3A5F"/>
          <w:sz w:val="24"/>
        </w:rPr>
        <w:t>6. REFERENCES</w:t>
      </w:r>
    </w:p>
    <w:p>
      <w:pPr>
        <w:pStyle w:val="ListBullet"/>
      </w:pPr>
      <w:r>
        <w:t>No Surprises Act, Good Faith Estimates and Patient-Provider Dispute Resolution, 45 CFR 149.610 and 149.620</w:t>
      </w:r>
    </w:p>
    <w:p>
      <w:pPr>
        <w:pStyle w:val="ListBullet"/>
      </w:pPr>
      <w:r>
        <w:t>Related policies: PFS-160 Insurance, Medicare Coverage, and Claims; COM-210 Patient Electronic Communication</w:t>
      </w:r>
    </w:p>
    <w:p>
      <w:r>
        <w:rPr>
          <w:b/>
          <w:color w:val="1F3A5F"/>
          <w:sz w:val="24"/>
        </w:rPr>
        <w:t>REVISION HISTORY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Version</w:t>
            </w:r>
          </w:p>
        </w:tc>
        <w:tc>
          <w:tcPr>
            <w:tcW w:type="dxa" w:w="2880"/>
          </w:tcPr>
          <w:p>
            <w:r>
              <w:rPr>
                <w:b/>
              </w:rPr>
              <w:t>Date</w:t>
            </w:r>
          </w:p>
        </w:tc>
        <w:tc>
          <w:tcPr>
            <w:tcW w:type="dxa" w:w="2880"/>
          </w:tcPr>
          <w:p>
            <w:r>
              <w:rPr>
                <w:b/>
              </w:rPr>
              <w:t>Summary of Changes</w:t>
            </w:r>
          </w:p>
        </w:tc>
      </w:tr>
      <w:tr>
        <w:tc>
          <w:tcPr>
            <w:tcW w:type="dxa" w:w="2880"/>
          </w:tcPr>
          <w:p>
            <w:r>
              <w:t>1.0</w:t>
            </w:r>
          </w:p>
        </w:tc>
        <w:tc>
          <w:tcPr>
            <w:tcW w:type="dxa" w:w="2880"/>
          </w:tcPr>
          <w:p>
            <w:r>
              <w:t>01/01/2022</w:t>
            </w:r>
          </w:p>
        </w:tc>
        <w:tc>
          <w:tcPr>
            <w:tcW w:type="dxa" w:w="2880"/>
          </w:tcPr>
          <w:p>
            <w:r>
              <w:t>New policy</w:t>
            </w:r>
          </w:p>
        </w:tc>
      </w:tr>
      <w:tr>
        <w:tc>
          <w:tcPr>
            <w:tcW w:type="dxa" w:w="2880"/>
          </w:tcPr>
          <w:p>
            <w:r>
              <w:t>2.0</w:t>
            </w:r>
          </w:p>
        </w:tc>
        <w:tc>
          <w:tcPr>
            <w:tcW w:type="dxa" w:w="2880"/>
          </w:tcPr>
          <w:p>
            <w:r>
              <w:t>01/01/2025</w:t>
            </w:r>
          </w:p>
        </w:tc>
        <w:tc>
          <w:tcPr>
            <w:tcW w:type="dxa" w:w="2880"/>
          </w:tcPr>
          <w:p>
            <w:r>
              <w:t>Updated payment plan terms and financial assistance threshold</w:t>
            </w:r>
          </w:p>
        </w:tc>
      </w:tr>
    </w:tbl>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i/>
        <w:sz w:val="16"/>
      </w:rPr>
      <w:t>PFS-150  |  Sample policy written for a portfolio demonstration project. Riverbend Health System is a fictional organization.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