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8"/>
        </w:rPr>
        <w:t>RIVERBEND HEALTH SYSTEM</w:t>
      </w:r>
    </w:p>
    <w:p>
      <w:pPr>
        <w:jc w:val="center"/>
      </w:pPr>
      <w:r>
        <w:rPr>
          <w:b/>
          <w:sz w:val="26"/>
        </w:rPr>
        <w:t>POLICY: Prescription Refill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Number</w:t>
            </w:r>
          </w:p>
        </w:tc>
        <w:tc>
          <w:tcPr>
            <w:tcW w:type="dxa" w:w="4320"/>
          </w:tcPr>
          <w:p>
            <w:r>
              <w:t>PHM-210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Ambulatory Clinical Operations / Pharmacy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Director, Ambulatory Nursing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320"/>
          </w:tcPr>
          <w:p>
            <w:r>
              <w:t>Pharmacy and Therapeutics Committee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02/01/2025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02/01/2026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4320"/>
          </w:tcPr>
          <w:p>
            <w:r>
              <w:t>02/01/2027</w:t>
            </w:r>
          </w:p>
        </w:tc>
      </w:tr>
    </w:tbl>
    <w:p>
      <w:r>
        <w:t>PHM-210 | Prescription Refill Requests | Effective 02/01/2025</w:t>
      </w:r>
    </w:p>
    <w:p>
      <w:r>
        <w:rPr>
          <w:b/>
          <w:color w:val="1F3A5F"/>
          <w:sz w:val="24"/>
        </w:rPr>
        <w:t>1. PURPOSE</w:t>
      </w:r>
    </w:p>
    <w:p>
      <w:r>
        <w:t>To establish a safe, consistent process for receiving, reviewing, and completing prescription refill requests from patients and pharmacies.</w:t>
      </w:r>
    </w:p>
    <w:p>
      <w:r>
        <w:rPr>
          <w:b/>
          <w:color w:val="1F3A5F"/>
          <w:sz w:val="24"/>
        </w:rPr>
        <w:t>2. SCOPE</w:t>
      </w:r>
    </w:p>
    <w:p>
      <w:r>
        <w:t>Applies to all Riverbend primary care and specialty clinics, licensed prescribers, nurses, medical assistants, and patient support staff who handle refill requests.</w:t>
      </w:r>
    </w:p>
    <w:p>
      <w:r>
        <w:rPr>
          <w:b/>
          <w:color w:val="1F3A5F"/>
          <w:sz w:val="24"/>
        </w:rPr>
        <w:t>3. DEFINITIONS</w:t>
      </w:r>
    </w:p>
    <w:p>
      <w:pPr>
        <w:pStyle w:val="ListBullet"/>
      </w:pPr>
      <w:r>
        <w:t>Routine Refill: A request to continue a current, unchanged medication.</w:t>
      </w:r>
    </w:p>
    <w:p>
      <w:pPr>
        <w:pStyle w:val="ListBullet"/>
      </w:pPr>
      <w:r>
        <w:t>Monitored Medication: A medication that requires periodic lab work or a visit before continued prescribing (for example, blood pressure, diabetes, thyroid, anticoagulant, and cholesterol medications).</w:t>
      </w:r>
    </w:p>
    <w:p>
      <w:pPr>
        <w:pStyle w:val="ListBullet"/>
      </w:pPr>
      <w:r>
        <w:t>Controlled Substance: A medication regulated by the U.S. Drug Enforcement Administration (DEA), Schedules II through V.</w:t>
      </w:r>
    </w:p>
    <w:p>
      <w:r>
        <w:rPr>
          <w:b/>
          <w:color w:val="1F3A5F"/>
          <w:sz w:val="24"/>
        </w:rPr>
        <w:t>4. POLICY</w:t>
      </w:r>
    </w:p>
    <w:p>
      <w:r>
        <w:t>4.1 Patients should request refills at least 3 business days before running out of medication.</w:t>
      </w:r>
    </w:p>
    <w:p>
      <w:r>
        <w:t>4.2 Routine refill requests are completed within 2 business days of receipt. Requests received on weekends or holidays are processed the next business day.</w:t>
      </w:r>
    </w:p>
    <w:p>
      <w:r>
        <w:t>4.3 Clinic staff do not change doses, start new medications, or give medication advice by email or portal message. These decisions require a licensed prescriber.</w:t>
      </w:r>
    </w:p>
    <w:p>
      <w:r>
        <w:t>4.4 Controlled substances are not refilled early and must follow the Controlled Substance Prescribing Policy (PHM-220).</w:t>
      </w:r>
    </w:p>
    <w:p>
      <w:r>
        <w:rPr>
          <w:b/>
          <w:color w:val="1F3A5F"/>
          <w:sz w:val="24"/>
        </w:rPr>
        <w:t>5. PROCEDURE</w:t>
      </w:r>
    </w:p>
    <w:p>
      <w:r>
        <w:rPr>
          <w:b/>
        </w:rPr>
        <w:t>5.1 How patients request a refill</w:t>
      </w:r>
    </w:p>
    <w:p>
      <w:pPr>
        <w:pStyle w:val="ListBullet"/>
      </w:pPr>
      <w:r>
        <w:t>Preferred: Contact the pharmacy, which sends an electronic refill request to the clinic.</w:t>
      </w:r>
    </w:p>
    <w:p>
      <w:pPr>
        <w:pStyle w:val="ListBullet"/>
      </w:pPr>
      <w:r>
        <w:t>Patient Portal: Menu &gt; Medications &gt; Request Refill.</w:t>
      </w:r>
    </w:p>
    <w:p>
      <w:pPr>
        <w:pStyle w:val="ListBullet"/>
      </w:pPr>
      <w:r>
        <w:t>Phone: Call the clinic refill line during business hours.</w:t>
      </w:r>
    </w:p>
    <w:p>
      <w:r>
        <w:rPr>
          <w:b/>
        </w:rPr>
        <w:t>5.2 Review</w:t>
      </w:r>
    </w:p>
    <w:p>
      <w:pPr>
        <w:pStyle w:val="ListBullet"/>
      </w:pPr>
      <w:r>
        <w:t>Nursing staff verify the medication, dose, last visit date, and required monitoring.</w:t>
      </w:r>
    </w:p>
    <w:p>
      <w:pPr>
        <w:pStyle w:val="ListBullet"/>
      </w:pPr>
      <w:r>
        <w:t>If the patient has not been seen within 12 months, or required lab work is overdue, the prescriber may approve a 30-day bridge supply and the patient is asked to schedule a follow-up visit.</w:t>
      </w:r>
    </w:p>
    <w:p>
      <w:r>
        <w:rPr>
          <w:b/>
        </w:rPr>
        <w:t>5.3 Prescription not received by the pharmacy</w:t>
      </w:r>
    </w:p>
    <w:p>
      <w:pPr>
        <w:pStyle w:val="ListBullet"/>
      </w:pPr>
      <w:r>
        <w:t>Staff confirm the preferred pharmacy name and location in the patient record.</w:t>
      </w:r>
    </w:p>
    <w:p>
      <w:pPr>
        <w:pStyle w:val="ListBullet"/>
      </w:pPr>
      <w:r>
        <w:t>Staff check the electronic prescribing log for transmission errors and resend the prescription if needed, typically the same business day.</w:t>
      </w:r>
    </w:p>
    <w:p>
      <w:pPr>
        <w:pStyle w:val="ListBullet"/>
      </w:pPr>
      <w:r>
        <w:t>The patient is notified through the Patient Portal when the issue is resolved.</w:t>
      </w:r>
    </w:p>
    <w:p>
      <w:r>
        <w:rPr>
          <w:b/>
        </w:rPr>
        <w:t>5.4 Changing pharmacies</w:t>
      </w:r>
    </w:p>
    <w:p>
      <w:pPr>
        <w:pStyle w:val="ListBullet"/>
      </w:pPr>
      <w:r>
        <w:t>Patients update their preferred pharmacy in the Patient Portal or by calling the front desk. Active prescriptions may need to be transferred by the new pharmacy.</w:t>
      </w:r>
    </w:p>
    <w:p>
      <w:r>
        <w:rPr>
          <w:b/>
        </w:rPr>
        <w:t>5.5 Medication safety concerns</w:t>
      </w:r>
    </w:p>
    <w:p>
      <w:pPr>
        <w:pStyle w:val="ListBullet"/>
      </w:pPr>
      <w:r>
        <w:t>Patients reporting a possible overdose, a severe allergic reaction (trouble breathing, swelling of the face, lips, or throat), or other severe symptoms are directed to call 911 immediately. For a possible poisoning, patients may also call Poison Control at 1-800-222-1222.</w:t>
      </w:r>
    </w:p>
    <w:p>
      <w:pPr>
        <w:pStyle w:val="ListBullet"/>
      </w:pPr>
      <w:r>
        <w:t>Non-urgent questions about side effects are routed to the prescriber or clinic nurse.</w:t>
      </w:r>
    </w:p>
    <w:p>
      <w:r>
        <w:rPr>
          <w:b/>
          <w:color w:val="1F3A5F"/>
          <w:sz w:val="24"/>
        </w:rPr>
        <w:t>6. RESPONSIBILITIES</w:t>
      </w:r>
    </w:p>
    <w:p>
      <w:pPr>
        <w:pStyle w:val="ListBullet"/>
      </w:pPr>
      <w:r>
        <w:t>Prescribers: Approve, deny, or modify refills and document the decision.</w:t>
      </w:r>
    </w:p>
    <w:p>
      <w:pPr>
        <w:pStyle w:val="ListBullet"/>
      </w:pPr>
      <w:r>
        <w:t>Nursing staff: Triage and prepare refill requests; escalate safety concerns.</w:t>
      </w:r>
    </w:p>
    <w:p>
      <w:pPr>
        <w:pStyle w:val="ListBullet"/>
      </w:pPr>
      <w:r>
        <w:t>Patient support staff: Route requests and notify patients of outcomes.</w:t>
      </w:r>
    </w:p>
    <w:p>
      <w:r>
        <w:rPr>
          <w:b/>
          <w:color w:val="1F3A5F"/>
          <w:sz w:val="24"/>
        </w:rPr>
        <w:t>7. REFERENCES</w:t>
      </w:r>
    </w:p>
    <w:p>
      <w:pPr>
        <w:pStyle w:val="ListBullet"/>
      </w:pPr>
      <w:r>
        <w:t>DEA regulations for prescriptions, 21 CFR Part 1306</w:t>
      </w:r>
    </w:p>
    <w:p>
      <w:pPr>
        <w:pStyle w:val="ListBullet"/>
      </w:pPr>
      <w:r>
        <w:t>Related policies: PHM-220 Controlled Substance Prescribing; COM-210 Patient Electronic Communication</w:t>
      </w:r>
    </w:p>
    <w:p>
      <w:r>
        <w:rPr>
          <w:b/>
          <w:color w:val="1F3A5F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06/01/2021</w:t>
            </w:r>
          </w:p>
        </w:tc>
        <w:tc>
          <w:tcPr>
            <w:tcW w:type="dxa" w:w="2880"/>
          </w:tcPr>
          <w:p>
            <w:r>
              <w:t>New policy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02/01/2025</w:t>
            </w:r>
          </w:p>
        </w:tc>
        <w:tc>
          <w:tcPr>
            <w:tcW w:type="dxa" w:w="2880"/>
          </w:tcPr>
          <w:p>
            <w:r>
              <w:t>Added bridge supply and pharmacy transmission troubleshooting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6"/>
      </w:rPr>
      <w:t>PHM-210  |  Sample policy written for a portfolio demonstration project. Riverbend Health System is a fictional organization.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