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ED14" w14:textId="77777777" w:rsidR="00186129" w:rsidRPr="00186129" w:rsidRDefault="00186129" w:rsidP="00186129">
      <w:pPr>
        <w:rPr>
          <w:b/>
          <w:bCs/>
        </w:rPr>
      </w:pPr>
      <w:r w:rsidRPr="00186129">
        <w:rPr>
          <w:rFonts w:ascii="Segoe UI Emoji" w:hAnsi="Segoe UI Emoji" w:cs="Segoe UI Emoji"/>
          <w:b/>
          <w:bCs/>
        </w:rPr>
        <w:t>📌</w:t>
      </w:r>
      <w:r w:rsidRPr="00186129">
        <w:rPr>
          <w:b/>
          <w:bCs/>
        </w:rPr>
        <w:t xml:space="preserve"> Phase 2: Org Setup &amp; Configuration</w:t>
      </w:r>
    </w:p>
    <w:p w14:paraId="4CC82069" w14:textId="77777777" w:rsidR="00186129" w:rsidRPr="00186129" w:rsidRDefault="00186129" w:rsidP="00186129">
      <w:r w:rsidRPr="00186129">
        <w:t>In this phase, we prepared the Salesforce development environment and configured the basic organizational settings required for BizConnect360.</w:t>
      </w:r>
    </w:p>
    <w:p w14:paraId="349037A2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Salesforce Editions:</w:t>
      </w:r>
      <w:r w:rsidRPr="00186129">
        <w:t xml:space="preserve"> We worked on a </w:t>
      </w:r>
      <w:r w:rsidRPr="00186129">
        <w:rPr>
          <w:b/>
          <w:bCs/>
        </w:rPr>
        <w:t>Developer Edition Org</w:t>
      </w:r>
      <w:r w:rsidRPr="00186129">
        <w:t>, which provides full features for building and testing apps like BizConnect360.</w:t>
      </w:r>
    </w:p>
    <w:p w14:paraId="1BB31360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Company Profile Setup:</w:t>
      </w:r>
      <w:r w:rsidRPr="00186129">
        <w:t xml:space="preserve"> The company profile was configured with details such as organization name and default currency (INR).</w:t>
      </w:r>
    </w:p>
    <w:p w14:paraId="3FFB1554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Business Hours &amp; Holidays:</w:t>
      </w:r>
      <w:r w:rsidRPr="00186129">
        <w:t xml:space="preserve"> Default business hours were set to IST (Indian Standard Time). This ensures proper SLA tracking for sales and service processes. Holidays can be added for accurate case and task management.</w:t>
      </w:r>
    </w:p>
    <w:p w14:paraId="1E6E0DFC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Fiscal Year Settings:</w:t>
      </w:r>
      <w:r w:rsidRPr="00186129">
        <w:t xml:space="preserve"> Standard fiscal year was adopted for financial tracking and reporting in BizConnect360.</w:t>
      </w:r>
    </w:p>
    <w:p w14:paraId="7F1B478C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User Setup &amp; Licenses:</w:t>
      </w:r>
      <w:r w:rsidRPr="00186129">
        <w:t xml:space="preserve"> Multiple users were created to represent different roles:</w:t>
      </w:r>
    </w:p>
    <w:p w14:paraId="5494BF3E" w14:textId="77777777" w:rsidR="00186129" w:rsidRPr="00186129" w:rsidRDefault="00186129" w:rsidP="00186129">
      <w:pPr>
        <w:numPr>
          <w:ilvl w:val="1"/>
          <w:numId w:val="1"/>
        </w:numPr>
      </w:pPr>
      <w:r w:rsidRPr="00186129">
        <w:rPr>
          <w:b/>
          <w:bCs/>
        </w:rPr>
        <w:t>Sales Rep</w:t>
      </w:r>
      <w:r w:rsidRPr="00186129">
        <w:t xml:space="preserve"> (to handle Leads and Opportunities)</w:t>
      </w:r>
    </w:p>
    <w:p w14:paraId="69799140" w14:textId="77777777" w:rsidR="00186129" w:rsidRPr="00186129" w:rsidRDefault="00186129" w:rsidP="00186129">
      <w:pPr>
        <w:numPr>
          <w:ilvl w:val="1"/>
          <w:numId w:val="1"/>
        </w:numPr>
      </w:pPr>
      <w:r w:rsidRPr="00186129">
        <w:rPr>
          <w:b/>
          <w:bCs/>
        </w:rPr>
        <w:t>Service Agent</w:t>
      </w:r>
      <w:r w:rsidRPr="00186129">
        <w:t xml:space="preserve"> (to manage Cases, Field Visits, Feedback)</w:t>
      </w:r>
    </w:p>
    <w:p w14:paraId="77C63B62" w14:textId="77777777" w:rsidR="00186129" w:rsidRPr="00186129" w:rsidRDefault="00186129" w:rsidP="00186129">
      <w:pPr>
        <w:numPr>
          <w:ilvl w:val="1"/>
          <w:numId w:val="1"/>
        </w:numPr>
      </w:pPr>
      <w:r w:rsidRPr="00186129">
        <w:rPr>
          <w:b/>
          <w:bCs/>
        </w:rPr>
        <w:t>Accountant</w:t>
      </w:r>
      <w:r w:rsidRPr="00186129">
        <w:t xml:space="preserve"> (to handle Invoices)</w:t>
      </w:r>
      <w:r w:rsidRPr="00186129">
        <w:br/>
        <w:t>Each user was assigned a Salesforce license.</w:t>
      </w:r>
    </w:p>
    <w:p w14:paraId="0AE11777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Profiles:</w:t>
      </w:r>
      <w:r w:rsidRPr="00186129">
        <w:t xml:space="preserve"> Custom profiles were created by cloning the Standard User profile, e.g., </w:t>
      </w:r>
      <w:r w:rsidRPr="00186129">
        <w:rPr>
          <w:i/>
          <w:iCs/>
        </w:rPr>
        <w:t>Sales Profile</w:t>
      </w:r>
      <w:r w:rsidRPr="00186129">
        <w:t xml:space="preserve"> and </w:t>
      </w:r>
      <w:r w:rsidRPr="00186129">
        <w:rPr>
          <w:i/>
          <w:iCs/>
        </w:rPr>
        <w:t>Accountant Profile</w:t>
      </w:r>
      <w:r w:rsidRPr="00186129">
        <w:t>, to control object-level permissions.</w:t>
      </w:r>
    </w:p>
    <w:p w14:paraId="784DE341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Roles:</w:t>
      </w:r>
      <w:r w:rsidRPr="00186129">
        <w:t xml:space="preserve"> Roles can be defined to control record-level hierarchy (e.g., Sales → Service → Finance), though for our demo we focused on profiles and sharing rules.</w:t>
      </w:r>
    </w:p>
    <w:p w14:paraId="5F142933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Permission Sets:</w:t>
      </w:r>
      <w:r w:rsidRPr="00186129">
        <w:t xml:space="preserve"> A special Permission Set named </w:t>
      </w:r>
      <w:r w:rsidRPr="00186129">
        <w:rPr>
          <w:b/>
          <w:bCs/>
        </w:rPr>
        <w:t>Invoice Access</w:t>
      </w:r>
      <w:r w:rsidRPr="00186129">
        <w:t xml:space="preserve"> was created to give extra permissions to the Accountant for Invoice object operations.</w:t>
      </w:r>
    </w:p>
    <w:p w14:paraId="237D7BA5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OWD (Org-Wide Defaults):</w:t>
      </w:r>
      <w:r w:rsidRPr="00186129">
        <w:t xml:space="preserve"> By default, sharing settings were kept private for sensitive objects like Invoices, while Accounts and Opportunities followed standard sharing rules.</w:t>
      </w:r>
    </w:p>
    <w:p w14:paraId="1FFD34EC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Sharing Rules:</w:t>
      </w:r>
      <w:r w:rsidRPr="00186129">
        <w:t xml:space="preserve"> Could be applied to share records automatically with specific groups (e.g., allowing Service Agents to view Invoices related to their Accounts).</w:t>
      </w:r>
    </w:p>
    <w:p w14:paraId="4FE3FC41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Login Access Policies:</w:t>
      </w:r>
      <w:r w:rsidRPr="00186129">
        <w:t xml:space="preserve"> Configured to ensure secure access and session handling.</w:t>
      </w:r>
    </w:p>
    <w:p w14:paraId="78511E21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Dev Org Setup:</w:t>
      </w:r>
      <w:r w:rsidRPr="00186129">
        <w:t xml:space="preserve"> The Developer Org served as the primary environment.</w:t>
      </w:r>
    </w:p>
    <w:p w14:paraId="5AFDD3FE" w14:textId="77777777" w:rsidR="00186129" w:rsidRPr="00186129" w:rsidRDefault="00186129" w:rsidP="00186129">
      <w:pPr>
        <w:numPr>
          <w:ilvl w:val="0"/>
          <w:numId w:val="1"/>
        </w:numPr>
      </w:pPr>
      <w:r w:rsidRPr="00186129">
        <w:rPr>
          <w:b/>
          <w:bCs/>
        </w:rPr>
        <w:t>Sandbox Usage &amp; Deployment Basics:</w:t>
      </w:r>
      <w:r w:rsidRPr="00186129">
        <w:t xml:space="preserve"> While a sandbox wasn’t mandatory for this project, Salesforce change sets and VS Code with SFDX CLI were used for deployments.</w:t>
      </w:r>
    </w:p>
    <w:p w14:paraId="56BAA8CA" w14:textId="77777777" w:rsidR="00186129" w:rsidRPr="00186129" w:rsidRDefault="00186129" w:rsidP="00186129">
      <w:r w:rsidRPr="00186129">
        <w:rPr>
          <w:rFonts w:ascii="Segoe UI Emoji" w:hAnsi="Segoe UI Emoji" w:cs="Segoe UI Emoji"/>
        </w:rPr>
        <w:t>👉</w:t>
      </w:r>
      <w:r w:rsidRPr="00186129">
        <w:t xml:space="preserve"> Overall, Phase-2 ensured that the environment was ready with proper </w:t>
      </w:r>
      <w:r w:rsidRPr="00186129">
        <w:rPr>
          <w:b/>
          <w:bCs/>
        </w:rPr>
        <w:t>users, access controls, and baseline configurations</w:t>
      </w:r>
      <w:r w:rsidRPr="00186129">
        <w:t xml:space="preserve"> before starting development.</w:t>
      </w:r>
    </w:p>
    <w:p w14:paraId="3C614D4D" w14:textId="77777777" w:rsidR="00F62ABC" w:rsidRDefault="00F62ABC"/>
    <w:sectPr w:rsidR="00F6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2627B"/>
    <w:multiLevelType w:val="multilevel"/>
    <w:tmpl w:val="927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29"/>
    <w:rsid w:val="00186129"/>
    <w:rsid w:val="003D514E"/>
    <w:rsid w:val="00900D7B"/>
    <w:rsid w:val="00A207FA"/>
    <w:rsid w:val="00F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981F"/>
  <w15:chartTrackingRefBased/>
  <w15:docId w15:val="{4B7627E6-2ED5-480E-AA71-E82F7D18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</cp:revision>
  <dcterms:created xsi:type="dcterms:W3CDTF">2025-09-13T19:35:00Z</dcterms:created>
  <dcterms:modified xsi:type="dcterms:W3CDTF">2025-09-13T19:36:00Z</dcterms:modified>
</cp:coreProperties>
</file>