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Machine Learning Case Study: Chronic Kidney Disease Classification</w:t>
      </w:r>
    </w:p>
    <w:p>
      <w:pPr>
        <w:pStyle w:val="Heading1"/>
      </w:pPr>
      <w:r>
        <w:t>1. Problem Statement &amp; Objectives</w:t>
      </w:r>
    </w:p>
    <w:p>
      <w:r>
        <w:t>A healthcare organization wants to develop a Machine Learning system that classifies patients based on available clinical measurements and identifies whether they belong to a kidney-disease-related class (Chronic Kidney Disease or Not CKD).</w:t>
        <w:br/>
        <w:br/>
        <w:t>Objectives:</w:t>
        <w:br/>
        <w:t>1. Understand and clean the clinical dataset.</w:t>
        <w:br/>
        <w:t>2. Handle missing values appropriately.</w:t>
        <w:br/>
        <w:t>3. Perform Exploratory Data Analysis (EDA).</w:t>
        <w:br/>
        <w:t>4. Identify important predictors (Feature Engineering).</w:t>
        <w:br/>
        <w:t>5. Develop and compare ML models (Logistic Regression, KNN, Decision Tree, Random Forest, Gradient Boosting).</w:t>
        <w:br/>
        <w:t>6. Deploy a web application for real-time prediction.</w:t>
      </w:r>
    </w:p>
    <w:p>
      <w:pPr>
        <w:pStyle w:val="Heading1"/>
      </w:pPr>
      <w:r>
        <w:t>2. Dataset Overview &amp; Preprocessing</w:t>
      </w:r>
    </w:p>
    <w:p>
      <w:r>
        <w:t>The UCI Chronic Kidney Disease Dataset contains 400 patient records with 24 clinical features and 1 target variable. The dataset exhibited significant missing values (up to 38% in some features like Red Blood Cell count). To handle this, a two-pass imputation strategy was implemented: K-Nearest Neighbors (KNN) Imputation for numerical features and Mode Imputation for categorical features. This allowed us to retain all 400 patient records without data loss.</w:t>
      </w:r>
    </w:p>
    <w:p>
      <w:pPr>
        <w:pStyle w:val="Heading1"/>
      </w:pPr>
      <w:r>
        <w:t>3. Exploratory Data Analysis (EDA)</w:t>
      </w:r>
    </w:p>
    <w:p>
      <w:r>
        <w:t>Several visualizations were generated to understand feature distributions and class separation.</w:t>
      </w:r>
    </w:p>
    <w:p>
      <w:r>
        <w:drawing>
          <wp:inline xmlns:a="http://schemas.openxmlformats.org/drawingml/2006/main" xmlns:pic="http://schemas.openxmlformats.org/drawingml/2006/picture">
            <wp:extent cx="4572000" cy="31498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arget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498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41286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numerical_distribut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1286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40665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orrelation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0665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Feature Importance</w:t>
      </w:r>
    </w:p>
    <w:p>
      <w:r>
        <w:t>Using Random Forest Feature Importances and Mutual Information scores, the most critical indicators for CKD were identified as:</w:t>
        <w:br/>
        <w:t>1. Hemoglobin (hemo)</w:t>
        <w:br/>
        <w:t>2. Packed Cell Volume (pcv)</w:t>
        <w:br/>
        <w:t>3. Specific Gravity (sg)</w:t>
        <w:br/>
        <w:t>4. Serum Creatinine (sc)</w:t>
        <w:br/>
        <w:t>5. Albumin (al)</w:t>
      </w:r>
    </w:p>
    <w:p>
      <w:r>
        <w:drawing>
          <wp:inline xmlns:a="http://schemas.openxmlformats.org/drawingml/2006/main" xmlns:pic="http://schemas.openxmlformats.org/drawingml/2006/picture">
            <wp:extent cx="5029200" cy="22750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feature_importa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75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Model Development &amp; Comparison</w:t>
      </w:r>
    </w:p>
    <w:p>
      <w:r>
        <w:t>Five algorithms were trained using 5-fold Stratified Cross-Validation and hyperparameter tuning via GridSearchCV. The models were evaluated on an unseen 20% test set.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Accuracy</w:t>
            </w:r>
          </w:p>
        </w:tc>
        <w:tc>
          <w:tcPr>
            <w:tcW w:type="dxa" w:w="1728"/>
          </w:tcPr>
          <w:p>
            <w:r>
              <w:t>Precision</w:t>
            </w:r>
          </w:p>
        </w:tc>
        <w:tc>
          <w:tcPr>
            <w:tcW w:type="dxa" w:w="1728"/>
          </w:tcPr>
          <w:p>
            <w:r>
              <w:t>Recall</w:t>
            </w:r>
          </w:p>
        </w:tc>
        <w:tc>
          <w:tcPr>
            <w:tcW w:type="dxa" w:w="1728"/>
          </w:tcPr>
          <w:p>
            <w:r>
              <w:t>F1-Score</w:t>
            </w:r>
          </w:p>
        </w:tc>
      </w:tr>
      <w:tr>
        <w:tc>
          <w:tcPr>
            <w:tcW w:type="dxa" w:w="1728"/>
          </w:tcPr>
          <w:p>
            <w:r>
              <w:t>Logistic Regression</w:t>
            </w:r>
          </w:p>
        </w:tc>
        <w:tc>
          <w:tcPr>
            <w:tcW w:type="dxa" w:w="1728"/>
          </w:tcPr>
          <w:p>
            <w:r>
              <w:t>97.50%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  <w:tc>
          <w:tcPr>
            <w:tcW w:type="dxa" w:w="1728"/>
          </w:tcPr>
          <w:p>
            <w:r>
              <w:t>96.00%</w:t>
            </w:r>
          </w:p>
        </w:tc>
        <w:tc>
          <w:tcPr>
            <w:tcW w:type="dxa" w:w="1728"/>
          </w:tcPr>
          <w:p>
            <w:r>
              <w:t>97.96%</w:t>
            </w:r>
          </w:p>
        </w:tc>
      </w:tr>
      <w:tr>
        <w:tc>
          <w:tcPr>
            <w:tcW w:type="dxa" w:w="1728"/>
          </w:tcPr>
          <w:p>
            <w:r>
              <w:t>KNN</w:t>
            </w:r>
          </w:p>
        </w:tc>
        <w:tc>
          <w:tcPr>
            <w:tcW w:type="dxa" w:w="1728"/>
          </w:tcPr>
          <w:p>
            <w:r>
              <w:t>97.50%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  <w:tc>
          <w:tcPr>
            <w:tcW w:type="dxa" w:w="1728"/>
          </w:tcPr>
          <w:p>
            <w:r>
              <w:t>96.00%</w:t>
            </w:r>
          </w:p>
        </w:tc>
        <w:tc>
          <w:tcPr>
            <w:tcW w:type="dxa" w:w="1728"/>
          </w:tcPr>
          <w:p>
            <w:r>
              <w:t>97.96%</w:t>
            </w:r>
          </w:p>
        </w:tc>
      </w:tr>
      <w:tr>
        <w:tc>
          <w:tcPr>
            <w:tcW w:type="dxa" w:w="1728"/>
          </w:tcPr>
          <w:p>
            <w:r>
              <w:t>Decision Tree</w:t>
            </w:r>
          </w:p>
        </w:tc>
        <w:tc>
          <w:tcPr>
            <w:tcW w:type="dxa" w:w="1728"/>
          </w:tcPr>
          <w:p>
            <w:r>
              <w:t>91.25%</w:t>
            </w:r>
          </w:p>
        </w:tc>
        <w:tc>
          <w:tcPr>
            <w:tcW w:type="dxa" w:w="1728"/>
          </w:tcPr>
          <w:p>
            <w:r>
              <w:t>93.88%</w:t>
            </w:r>
          </w:p>
        </w:tc>
        <w:tc>
          <w:tcPr>
            <w:tcW w:type="dxa" w:w="1728"/>
          </w:tcPr>
          <w:p>
            <w:r>
              <w:t>92.00%</w:t>
            </w:r>
          </w:p>
        </w:tc>
        <w:tc>
          <w:tcPr>
            <w:tcW w:type="dxa" w:w="1728"/>
          </w:tcPr>
          <w:p>
            <w:r>
              <w:t>92.93%</w:t>
            </w:r>
          </w:p>
        </w:tc>
      </w:tr>
      <w:tr>
        <w:tc>
          <w:tcPr>
            <w:tcW w:type="dxa" w:w="1728"/>
          </w:tcPr>
          <w:p>
            <w:r>
              <w:t>Random Forest</w:t>
            </w:r>
          </w:p>
        </w:tc>
        <w:tc>
          <w:tcPr>
            <w:tcW w:type="dxa" w:w="1728"/>
          </w:tcPr>
          <w:p>
            <w:r>
              <w:t>98.75%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  <w:tc>
          <w:tcPr>
            <w:tcW w:type="dxa" w:w="1728"/>
          </w:tcPr>
          <w:p>
            <w:r>
              <w:t>98.00%</w:t>
            </w:r>
          </w:p>
        </w:tc>
        <w:tc>
          <w:tcPr>
            <w:tcW w:type="dxa" w:w="1728"/>
          </w:tcPr>
          <w:p>
            <w:r>
              <w:t>98.99%</w:t>
            </w:r>
          </w:p>
        </w:tc>
      </w:tr>
      <w:tr>
        <w:tc>
          <w:tcPr>
            <w:tcW w:type="dxa" w:w="1728"/>
          </w:tcPr>
          <w:p>
            <w:r>
              <w:t>Gradient Boosting</w:t>
            </w:r>
          </w:p>
        </w:tc>
        <w:tc>
          <w:tcPr>
            <w:tcW w:type="dxa" w:w="1728"/>
          </w:tcPr>
          <w:p>
            <w:r>
              <w:t>96.25%</w:t>
            </w:r>
          </w:p>
        </w:tc>
        <w:tc>
          <w:tcPr>
            <w:tcW w:type="dxa" w:w="1728"/>
          </w:tcPr>
          <w:p>
            <w:r>
              <w:t>97.96%</w:t>
            </w:r>
          </w:p>
        </w:tc>
        <w:tc>
          <w:tcPr>
            <w:tcW w:type="dxa" w:w="1728"/>
          </w:tcPr>
          <w:p>
            <w:r>
              <w:t>96.00%</w:t>
            </w:r>
          </w:p>
        </w:tc>
        <w:tc>
          <w:tcPr>
            <w:tcW w:type="dxa" w:w="1728"/>
          </w:tcPr>
          <w:p>
            <w:r>
              <w:t>96.97%</w:t>
            </w:r>
          </w:p>
        </w:tc>
      </w:tr>
    </w:tbl>
    <w:p>
      <w:r>
        <w:br/>
        <w:t>Comparative Visualizations:</w:t>
      </w:r>
    </w:p>
    <w:p>
      <w:r>
        <w:drawing>
          <wp:inline xmlns:a="http://schemas.openxmlformats.org/drawingml/2006/main" xmlns:pic="http://schemas.openxmlformats.org/drawingml/2006/picture">
            <wp:extent cx="5029200" cy="85660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confusion_matric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566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392592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roc_curv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25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Final Analysis &amp; Answers</w:t>
      </w:r>
    </w:p>
    <w:p>
      <w:r>
        <w:t>Q1: Can kidney-disease-related classification be performed using ML?</w:t>
        <w:br/>
        <w:t>Yes. The models demonstrated high discriminative power, all scoring above 91% accuracy.</w:t>
        <w:br/>
        <w:br/>
        <w:t>Q2: Which features are most important?</w:t>
        <w:br/>
        <w:t>Hemoglobin, Packed Cell Volume, Specific Gravity, and Serum Creatinine.</w:t>
        <w:br/>
        <w:br/>
        <w:t>Q3: Which algorithm performs best?</w:t>
        <w:br/>
        <w:t>Random Forest outperformed others with 98.75% accuracy and an F1-score of 98.99%.</w:t>
        <w:br/>
        <w:br/>
        <w:t>Q4: How does missing-value treatment affect the model?</w:t>
        <w:br/>
        <w:t>Proper imputation (KNN &amp; Mode) allowed retention of 100% of the data without bias, enabling robust model training.</w:t>
        <w:br/>
        <w:br/>
        <w:t>Q5: Which model has the best recall?</w:t>
        <w:br/>
        <w:t>Random Forest achieved the best recall (98.00%), which is crucial in healthcare to minimize false negatives (missed diagnoses).</w:t>
        <w:br/>
        <w:br/>
        <w:t>Q6: Can the model be deployed successfully?</w:t>
        <w:br/>
        <w:t>Yes, the Random Forest model was successfully serialized and deployed via a Streamlit web application.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