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0E8A99"/>
          <w:spacing w:val="40"/>
          <w:sz w:val="20"/>
          <w:szCs w:val="20"/>
        </w:rPr>
        <w:t xml:space="preserve">LUMOS AI</w:t>
      </w:r>
    </w:p>
    <w:p>
      <w:pPr>
        <w:spacing w:after="120"/>
      </w:pPr>
      <w:r>
        <w:rPr>
          <w:b/>
          <w:bCs/>
          <w:color w:val="0A1628"/>
          <w:sz w:val="44"/>
          <w:szCs w:val="44"/>
        </w:rPr>
        <w:t xml:space="preserve">Industrial Knowledge Intelligence Platform</w:t>
      </w:r>
    </w:p>
    <w:p>
      <w:pPr>
        <w:spacing w:after="60"/>
      </w:pPr>
      <w:r>
        <w:rPr>
          <w:i/>
          <w:iCs/>
          <w:color w:val="5A6B7A"/>
          <w:sz w:val="22"/>
          <w:szCs w:val="22"/>
        </w:rPr>
        <w:t xml:space="preserve">Complete Solution Description — ET AI Hackathon 2026, Problem Statement #8</w:t>
      </w:r>
    </w:p>
    <w:p>
      <w:pPr>
        <w:spacing w:after="300"/>
      </w:pPr>
      <w:r>
        <w:rPr>
          <w:color w:val="5A6B7A"/>
          <w:sz w:val="19"/>
          <w:szCs w:val="19"/>
        </w:rPr>
        <w:t xml:space="preserve">Reference document for pitch deck construction. Every section below maps to a section header you can lift directly into slides.</w:t>
      </w:r>
    </w:p>
    <w:p>
      <w:pPr>
        <w:pStyle w:val="Heading1"/>
        <w:spacing w:after="160" w:before="360"/>
      </w:pPr>
      <w:r>
        <w:t xml:space="preserve">1. What Are We Building?</w:t>
      </w:r>
    </w:p>
    <w:p>
      <w:pPr>
        <w:spacing w:after="160" w:line="300"/>
      </w:pPr>
      <w:r>
        <w:rPr>
          <w:color w:val="1A1A1A"/>
          <w:sz w:val="22"/>
          <w:szCs w:val="22"/>
        </w:rPr>
        <w:t xml:space="preserve">Lumos AI is an industrial knowledge intelligence platform that turns a plant's scattered documents — SOPs, maintenance records, incident reports, and regulatory clauses — into a single, queryable knowledge graph, delivered through three interfaces: a conversational Expert Copilot, a safety Compliance Agent, and a pair of AI-powered smart glasses that put both directly in front of a technician's eyes, hands-free.</w:t>
      </w:r>
    </w:p>
    <w:p>
      <w:pPr>
        <w:spacing w:after="160" w:line="300"/>
      </w:pPr>
      <w:r>
        <w:rPr>
          <w:color w:val="1A1A1A"/>
          <w:sz w:val="22"/>
          <w:szCs w:val="22"/>
        </w:rPr>
        <w:t xml:space="preserve">The platform has two flagship capabilities:</w:t>
      </w:r>
    </w:p>
    <w:p>
      <w:pPr>
        <w:pStyle w:val="ListParagraph"/>
        <w:numPr>
          <w:ilvl w:val="0"/>
          <w:numId w:val="1"/>
        </w:numPr>
        <w:spacing w:after="80" w:line="280"/>
      </w:pPr>
      <w:r>
        <w:rPr>
          <w:b/>
          <w:bCs/>
          <w:color w:val="0A1628"/>
          <w:sz w:val="22"/>
          <w:szCs w:val="22"/>
        </w:rPr>
        <w:t xml:space="preserve">Expert Knowledge Copilot — </w:t>
      </w:r>
      <w:r>
        <w:rPr>
          <w:color w:val="1A1A1A"/>
          <w:sz w:val="22"/>
          <w:szCs w:val="22"/>
        </w:rPr>
        <w:t xml:space="preserve">answers operational and maintenance questions by combining knowledge-graph traversal with retrieval-augmented generation (RAG), always citing its sources and always checking whether a procedure has been superseded before recommending it.</w:t>
      </w:r>
    </w:p>
    <w:p>
      <w:pPr>
        <w:pStyle w:val="ListParagraph"/>
        <w:numPr>
          <w:ilvl w:val="0"/>
          <w:numId w:val="1"/>
        </w:numPr>
        <w:spacing w:after="80" w:line="280"/>
      </w:pPr>
      <w:r>
        <w:rPr>
          <w:b/>
          <w:bCs/>
          <w:color w:val="0A1628"/>
          <w:sz w:val="22"/>
          <w:szCs w:val="22"/>
        </w:rPr>
        <w:t xml:space="preserve">Compliance Agent — </w:t>
      </w:r>
      <w:r>
        <w:rPr>
          <w:color w:val="1A1A1A"/>
          <w:sz w:val="22"/>
          <w:szCs w:val="22"/>
        </w:rPr>
        <w:t xml:space="preserve">checks an observed equipment or worker state against the governing SOPs and regulatory clauses for that specific equipment, returning a PASS / FLAG / UNKNOWN verdict with a citation — running entirely on a local AI model, no cloud dependency.</w:t>
      </w:r>
    </w:p>
    <w:p>
      <w:pPr>
        <w:spacing w:after="160" w:line="300"/>
      </w:pPr>
      <w:r>
        <w:rPr>
          <w:color w:val="1A1A1A"/>
          <w:sz w:val="22"/>
          <w:szCs w:val="22"/>
        </w:rPr>
        <w:t xml:space="preserve">Both are delivered through three channels: a pair of AI glasses for hands-free field use, a mobile web console as a manual-entry fallback and general-purpose interface, and the same backend is architecturally ready to serve a plant-manager dashboard.</w:t>
      </w:r>
    </w:p>
    <w:p>
      <w:pPr>
        <w:spacing w:after="120"/>
      </w:pPr>
    </w:p>
    <w:p>
      <w:pPr>
        <w:pStyle w:val="Heading1"/>
        <w:spacing w:after="160" w:before="360"/>
      </w:pPr>
      <w:r>
        <w:t xml:space="preserve">2. Why Are We Building This?</w:t>
      </w:r>
    </w:p>
    <w:p>
      <w:pPr>
        <w:pStyle w:val="Heading2"/>
        <w:spacing w:after="120" w:before="280"/>
      </w:pPr>
      <w:r>
        <w:t xml:space="preserve">2.1 The problem, in the numbers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0A1628" w:val="clear"/>
            <w:tcMar>
              <w:top w:type="dxa" w:w="100"/>
              <w:left w:type="dxa" w:w="120"/>
              <w:bottom w:type="dxa" w:w="100"/>
              <w:right w:type="dxa" w:w="120"/>
            </w:tcMar>
          </w:tcPr>
          <w:p>
            <w:r>
              <w:rPr>
                <w:b/>
                <w:bCs/>
                <w:color w:val="FFFFFF"/>
                <w:sz w:val="19"/>
                <w:szCs w:val="19"/>
              </w:rPr>
              <w:t xml:space="preserve">Statistic</w:t>
            </w:r>
          </w:p>
        </w:tc>
        <w:tc>
          <w:tcPr>
            <w:tcW w:type="dxa" w:w="5150"/>
            <w:shd w:fill="0A1628" w:val="clear"/>
            <w:tcMar>
              <w:top w:type="dxa" w:w="100"/>
              <w:left w:type="dxa" w:w="120"/>
              <w:bottom w:type="dxa" w:w="100"/>
              <w:right w:type="dxa" w:w="120"/>
            </w:tcMar>
          </w:tcPr>
          <w:p>
            <w:r>
              <w:rPr>
                <w:b/>
                <w:bCs/>
                <w:color w:val="FFFFFF"/>
                <w:sz w:val="19"/>
                <w:szCs w:val="19"/>
              </w:rPr>
              <w:t xml:space="preserve">Source / Framing</w:t>
            </w:r>
          </w:p>
        </w:tc>
      </w:tr>
      <w:tr>
        <w:tc>
          <w:tcPr>
            <w:tcW w:type="dxa" w:w="4200"/>
            <w:shd w:fill="FFFFFF" w:val="clear"/>
            <w:tcMar>
              <w:top w:type="dxa" w:w="90"/>
              <w:left w:type="dxa" w:w="120"/>
              <w:bottom w:type="dxa" w:w="90"/>
              <w:right w:type="dxa" w:w="120"/>
            </w:tcMar>
          </w:tcPr>
          <w:p>
            <w:pPr>
              <w:spacing w:line="260"/>
            </w:pPr>
            <w:r>
              <w:rPr>
                <w:color w:val="1A1A1A"/>
                <w:sz w:val="19"/>
                <w:szCs w:val="19"/>
              </w:rPr>
              <w:t xml:space="preserve">35% of engineer hours</w:t>
            </w:r>
          </w:p>
        </w:tc>
        <w:tc>
          <w:tcPr>
            <w:tcW w:type="dxa" w:w="5150"/>
            <w:shd w:fill="FFFFFF" w:val="clear"/>
            <w:tcMar>
              <w:top w:type="dxa" w:w="90"/>
              <w:left w:type="dxa" w:w="120"/>
              <w:bottom w:type="dxa" w:w="90"/>
              <w:right w:type="dxa" w:w="120"/>
            </w:tcMar>
          </w:tcPr>
          <w:p>
            <w:pPr>
              <w:spacing w:line="260"/>
            </w:pPr>
            <w:r>
              <w:rPr>
                <w:color w:val="1A1A1A"/>
                <w:sz w:val="19"/>
                <w:szCs w:val="19"/>
              </w:rPr>
              <w:t xml:space="preserve">lost searching for information that already exists somewhere in the organisation (McKinsey, 2024 global survey)</w:t>
            </w:r>
          </w:p>
        </w:tc>
      </w:tr>
      <w:tr>
        <w:tc>
          <w:tcPr>
            <w:tcW w:type="dxa" w:w="4200"/>
            <w:shd w:fill="F4F7F9" w:val="clear"/>
            <w:tcMar>
              <w:top w:type="dxa" w:w="90"/>
              <w:left w:type="dxa" w:w="120"/>
              <w:bottom w:type="dxa" w:w="90"/>
              <w:right w:type="dxa" w:w="120"/>
            </w:tcMar>
          </w:tcPr>
          <w:p>
            <w:pPr>
              <w:spacing w:line="260"/>
            </w:pPr>
            <w:r>
              <w:rPr>
                <w:color w:val="1A1A1A"/>
                <w:sz w:val="19"/>
                <w:szCs w:val="19"/>
              </w:rPr>
              <w:t xml:space="preserve">7–12 disconnected document systems</w:t>
            </w:r>
          </w:p>
        </w:tc>
        <w:tc>
          <w:tcPr>
            <w:tcW w:type="dxa" w:w="5150"/>
            <w:shd w:fill="F4F7F9" w:val="clear"/>
            <w:tcMar>
              <w:top w:type="dxa" w:w="90"/>
              <w:left w:type="dxa" w:w="120"/>
              <w:bottom w:type="dxa" w:w="90"/>
              <w:right w:type="dxa" w:w="120"/>
            </w:tcMar>
          </w:tcPr>
          <w:p>
            <w:pPr>
              <w:spacing w:line="260"/>
            </w:pPr>
            <w:r>
              <w:rPr>
                <w:color w:val="1A1A1A"/>
                <w:sz w:val="19"/>
                <w:szCs w:val="19"/>
              </w:rPr>
              <w:t xml:space="preserve">average large Indian plant — P&amp;IDs in one place, work orders in another, SOPs in a third (NASSCOM-EY)</w:t>
            </w:r>
          </w:p>
        </w:tc>
      </w:tr>
      <w:tr>
        <w:tc>
          <w:tcPr>
            <w:tcW w:type="dxa" w:w="4200"/>
            <w:shd w:fill="FFFFFF" w:val="clear"/>
            <w:tcMar>
              <w:top w:type="dxa" w:w="90"/>
              <w:left w:type="dxa" w:w="120"/>
              <w:bottom w:type="dxa" w:w="90"/>
              <w:right w:type="dxa" w:w="120"/>
            </w:tcMar>
          </w:tcPr>
          <w:p>
            <w:pPr>
              <w:spacing w:line="260"/>
            </w:pPr>
            <w:r>
              <w:rPr>
                <w:color w:val="1A1A1A"/>
                <w:sz w:val="19"/>
                <w:szCs w:val="19"/>
              </w:rPr>
              <w:t xml:space="preserve">18–22% of unplanned downtime</w:t>
            </w:r>
          </w:p>
        </w:tc>
        <w:tc>
          <w:tcPr>
            <w:tcW w:type="dxa" w:w="5150"/>
            <w:shd w:fill="FFFFFF" w:val="clear"/>
            <w:tcMar>
              <w:top w:type="dxa" w:w="90"/>
              <w:left w:type="dxa" w:w="120"/>
              <w:bottom w:type="dxa" w:w="90"/>
              <w:right w:type="dxa" w:w="120"/>
            </w:tcMar>
          </w:tcPr>
          <w:p>
            <w:pPr>
              <w:spacing w:line="260"/>
            </w:pPr>
            <w:r>
              <w:rPr>
                <w:color w:val="1A1A1A"/>
                <w:sz w:val="19"/>
                <w:szCs w:val="19"/>
              </w:rPr>
              <w:t xml:space="preserve">attributed to maintenance decisions made without complete equipment history (BIS Research)</w:t>
            </w:r>
          </w:p>
        </w:tc>
      </w:tr>
      <w:tr>
        <w:tc>
          <w:tcPr>
            <w:tcW w:type="dxa" w:w="4200"/>
            <w:shd w:fill="F4F7F9" w:val="clear"/>
            <w:tcMar>
              <w:top w:type="dxa" w:w="90"/>
              <w:left w:type="dxa" w:w="120"/>
              <w:bottom w:type="dxa" w:w="90"/>
              <w:right w:type="dxa" w:w="120"/>
            </w:tcMar>
          </w:tcPr>
          <w:p>
            <w:pPr>
              <w:spacing w:line="260"/>
            </w:pPr>
            <w:r>
              <w:rPr>
                <w:color w:val="1A1A1A"/>
                <w:sz w:val="19"/>
                <w:szCs w:val="19"/>
              </w:rPr>
              <w:t xml:space="preserve">25% of India's experienced industrial engineers</w:t>
            </w:r>
          </w:p>
        </w:tc>
        <w:tc>
          <w:tcPr>
            <w:tcW w:type="dxa" w:w="5150"/>
            <w:shd w:fill="F4F7F9" w:val="clear"/>
            <w:tcMar>
              <w:top w:type="dxa" w:w="90"/>
              <w:left w:type="dxa" w:w="120"/>
              <w:bottom w:type="dxa" w:w="90"/>
              <w:right w:type="dxa" w:w="120"/>
            </w:tcMar>
          </w:tcPr>
          <w:p>
            <w:pPr>
              <w:spacing w:line="260"/>
            </w:pPr>
            <w:r>
              <w:rPr>
                <w:color w:val="1A1A1A"/>
                <w:sz w:val="19"/>
                <w:szCs w:val="19"/>
              </w:rPr>
              <w:t xml:space="preserve">retiring within the next decade, taking undocumented operational knowledge with them</w:t>
            </w:r>
          </w:p>
        </w:tc>
      </w:tr>
    </w:tbl>
    <w:p>
      <w:pPr>
        <w:spacing w:after="120"/>
      </w:pPr>
    </w:p>
    <w:p>
      <w:pPr>
        <w:pStyle w:val="Heading2"/>
        <w:spacing w:after="120" w:before="280"/>
      </w:pPr>
      <w:r>
        <w:t xml:space="preserve">2.2 Why this is a knowledge problem, not a filing problem</w:t>
      </w:r>
    </w:p>
    <w:p>
      <w:pPr>
        <w:spacing w:after="160" w:line="300"/>
      </w:pPr>
      <w:r>
        <w:rPr>
          <w:color w:val="1A1A1A"/>
          <w:sz w:val="22"/>
          <w:szCs w:val="22"/>
        </w:rPr>
        <w:t xml:space="preserve">Document fragmentation is the visible symptom. The real, deeper problem — the one PS #8 is explicitly framed around — is knowledge custody loss: once an experienced engineer retires, the tribal knowledge of "this pump always fails this way when it's humid" disappears permanently, because it was never captured anywhere structured. CMMS systems store transactional data (work order opened, closed); they don't store causal reasoning. Generic enterprise search treats every document as a flat, disconnected blob of text — it has no concept that this valve is downstream of that pump, or that this SOP supersedes an older one.</w:t>
      </w:r>
    </w:p>
    <w:p>
      <w:pPr>
        <w:pStyle w:val="Heading2"/>
        <w:spacing w:after="120" w:before="280"/>
      </w:pPr>
      <w:r>
        <w:t xml:space="preserve">2.3 Why this fits Problem Statement #8 specifically</w:t>
      </w:r>
    </w:p>
    <w:p>
      <w:pPr>
        <w:spacing w:after="160" w:line="300"/>
      </w:pPr>
      <w:r>
        <w:rPr>
          <w:color w:val="1A1A1A"/>
          <w:sz w:val="22"/>
          <w:szCs w:val="22"/>
        </w:rPr>
        <w:t xml:space="preserve">PS #8 ("AI for Industrial Knowledge Intelligence: Unified Asset &amp; Operations Brain") asks, nearly word for word, for what this platform already builds: a universal document ingestion and knowledge graph agent, an expert knowledge copilot with citations built to work on mobile for field technicians, a maintenance/RCA agent, and a quality and regulatory compliance intelligence layer. This project directly answers four of the five "what you may build" bullets in the official brief.</w:t>
      </w:r>
    </w:p>
    <w:p>
      <w:pPr>
        <w:spacing w:after="120"/>
      </w:pPr>
    </w:p>
    <w:p>
      <w:pPr>
        <w:pStyle w:val="Heading1"/>
        <w:spacing w:after="160" w:before="360"/>
      </w:pPr>
      <w:r>
        <w:t xml:space="preserve">3. Solution Architecture</w:t>
      </w:r>
    </w:p>
    <w:p>
      <w:pPr>
        <w:pStyle w:val="Heading2"/>
        <w:spacing w:after="120" w:before="280"/>
      </w:pPr>
      <w:r>
        <w:t xml:space="preserve">3.1 Five-layer architecture</w:t>
      </w:r>
    </w:p>
    <w:p>
      <w:pPr>
        <w:spacing w:after="160" w:line="300"/>
      </w:pPr>
      <w:r>
        <w:rPr>
          <w:color w:val="1A1A1A"/>
          <w:sz w:val="22"/>
          <w:szCs w:val="22"/>
        </w:rPr>
        <w:t xml:space="preserve">The system is organised into five layers, each with a single clear responsibility: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0A1628" w:val="clear"/>
            <w:tcMar>
              <w:top w:type="dxa" w:w="100"/>
              <w:left w:type="dxa" w:w="120"/>
              <w:bottom w:type="dxa" w:w="100"/>
              <w:right w:type="dxa" w:w="120"/>
            </w:tcMar>
          </w:tcPr>
          <w:p>
            <w:r>
              <w:rPr>
                <w:b/>
                <w:bCs/>
                <w:color w:val="FFFFFF"/>
                <w:sz w:val="19"/>
                <w:szCs w:val="19"/>
              </w:rPr>
              <w:t xml:space="preserve">Layer</w:t>
            </w:r>
          </w:p>
        </w:tc>
        <w:tc>
          <w:tcPr>
            <w:tcW w:type="dxa" w:w="4200"/>
            <w:shd w:fill="0A1628" w:val="clear"/>
            <w:tcMar>
              <w:top w:type="dxa" w:w="100"/>
              <w:left w:type="dxa" w:w="120"/>
              <w:bottom w:type="dxa" w:w="100"/>
              <w:right w:type="dxa" w:w="120"/>
            </w:tcMar>
          </w:tcPr>
          <w:p>
            <w:r>
              <w:rPr>
                <w:b/>
                <w:bCs/>
                <w:color w:val="FFFFFF"/>
                <w:sz w:val="19"/>
                <w:szCs w:val="19"/>
              </w:rPr>
              <w:t xml:space="preserve">Responsibility</w:t>
            </w:r>
          </w:p>
        </w:tc>
        <w:tc>
          <w:tcPr>
            <w:tcW w:type="dxa" w:w="2750"/>
            <w:shd w:fill="0A1628" w:val="clear"/>
            <w:tcMar>
              <w:top w:type="dxa" w:w="100"/>
              <w:left w:type="dxa" w:w="120"/>
              <w:bottom w:type="dxa" w:w="100"/>
              <w:right w:type="dxa" w:w="120"/>
            </w:tcMar>
          </w:tcPr>
          <w:p>
            <w:r>
              <w:rPr>
                <w:b/>
                <w:bCs/>
                <w:color w:val="FFFFFF"/>
                <w:sz w:val="19"/>
                <w:szCs w:val="19"/>
              </w:rPr>
              <w:t xml:space="preserve">Technology</w:t>
            </w:r>
          </w:p>
        </w:tc>
      </w:tr>
      <w:tr>
        <w:tc>
          <w:tcPr>
            <w:tcW w:type="dxa" w:w="2400"/>
            <w:shd w:fill="FFFFFF" w:val="clear"/>
            <w:tcMar>
              <w:top w:type="dxa" w:w="90"/>
              <w:left w:type="dxa" w:w="120"/>
              <w:bottom w:type="dxa" w:w="90"/>
              <w:right w:type="dxa" w:w="120"/>
            </w:tcMar>
          </w:tcPr>
          <w:p>
            <w:pPr>
              <w:spacing w:line="260"/>
            </w:pPr>
            <w:r>
              <w:rPr>
                <w:color w:val="1A1A1A"/>
                <w:sz w:val="19"/>
                <w:szCs w:val="19"/>
              </w:rPr>
              <w:t xml:space="preserve">Input Sources</w:t>
            </w:r>
          </w:p>
        </w:tc>
        <w:tc>
          <w:tcPr>
            <w:tcW w:type="dxa" w:w="4200"/>
            <w:shd w:fill="FFFFFF" w:val="clear"/>
            <w:tcMar>
              <w:top w:type="dxa" w:w="90"/>
              <w:left w:type="dxa" w:w="120"/>
              <w:bottom w:type="dxa" w:w="90"/>
              <w:right w:type="dxa" w:w="120"/>
            </w:tcMar>
          </w:tcPr>
          <w:p>
            <w:pPr>
              <w:spacing w:line="260"/>
            </w:pPr>
            <w:r>
              <w:rPr>
                <w:color w:val="1A1A1A"/>
                <w:sz w:val="19"/>
                <w:szCs w:val="19"/>
              </w:rPr>
              <w:t xml:space="preserve">Raw plant documents: SOPs, incident reports, regulatory excerpts, equipment lists</w:t>
            </w:r>
          </w:p>
        </w:tc>
        <w:tc>
          <w:tcPr>
            <w:tcW w:type="dxa" w:w="2750"/>
            <w:shd w:fill="FFFFFF" w:val="clear"/>
            <w:tcMar>
              <w:top w:type="dxa" w:w="90"/>
              <w:left w:type="dxa" w:w="120"/>
              <w:bottom w:type="dxa" w:w="90"/>
              <w:right w:type="dxa" w:w="120"/>
            </w:tcMar>
          </w:tcPr>
          <w:p>
            <w:pPr>
              <w:spacing w:line="260"/>
            </w:pPr>
            <w:r>
              <w:rPr>
                <w:color w:val="1A1A1A"/>
                <w:sz w:val="19"/>
                <w:szCs w:val="19"/>
              </w:rPr>
              <w:t xml:space="preserve">Markdown / PDF source files</w:t>
            </w:r>
          </w:p>
        </w:tc>
      </w:tr>
      <w:tr>
        <w:tc>
          <w:tcPr>
            <w:tcW w:type="dxa" w:w="2400"/>
            <w:shd w:fill="F4F7F9" w:val="clear"/>
            <w:tcMar>
              <w:top w:type="dxa" w:w="90"/>
              <w:left w:type="dxa" w:w="120"/>
              <w:bottom w:type="dxa" w:w="90"/>
              <w:right w:type="dxa" w:w="120"/>
            </w:tcMar>
          </w:tcPr>
          <w:p>
            <w:pPr>
              <w:spacing w:line="260"/>
            </w:pPr>
            <w:r>
              <w:rPr>
                <w:color w:val="1A1A1A"/>
                <w:sz w:val="19"/>
                <w:szCs w:val="19"/>
              </w:rPr>
              <w:t xml:space="preserve">Ingestion &amp; Extraction</w:t>
            </w:r>
          </w:p>
        </w:tc>
        <w:tc>
          <w:tcPr>
            <w:tcW w:type="dxa" w:w="4200"/>
            <w:shd w:fill="F4F7F9" w:val="clear"/>
            <w:tcMar>
              <w:top w:type="dxa" w:w="90"/>
              <w:left w:type="dxa" w:w="120"/>
              <w:bottom w:type="dxa" w:w="90"/>
              <w:right w:type="dxa" w:w="120"/>
            </w:tcMar>
          </w:tcPr>
          <w:p>
            <w:pPr>
              <w:spacing w:line="260"/>
            </w:pPr>
            <w:r>
              <w:rPr>
                <w:color w:val="1A1A1A"/>
                <w:sz w:val="19"/>
                <w:szCs w:val="19"/>
              </w:rPr>
              <w:t xml:space="preserve">Reads documents, extracts entities and relationships matching a fixed schema</w:t>
            </w:r>
          </w:p>
        </w:tc>
        <w:tc>
          <w:tcPr>
            <w:tcW w:type="dxa" w:w="2750"/>
            <w:shd w:fill="F4F7F9" w:val="clear"/>
            <w:tcMar>
              <w:top w:type="dxa" w:w="90"/>
              <w:left w:type="dxa" w:w="120"/>
              <w:bottom w:type="dxa" w:w="90"/>
              <w:right w:type="dxa" w:w="120"/>
            </w:tcMar>
          </w:tcPr>
          <w:p>
            <w:pPr>
              <w:spacing w:line="260"/>
            </w:pPr>
            <w:r>
              <w:rPr>
                <w:color w:val="1A1A1A"/>
                <w:sz w:val="19"/>
                <w:szCs w:val="19"/>
              </w:rPr>
              <w:t xml:space="preserve">Gemini 2.5 Flash-Lite (structured JSON extraction)</w:t>
            </w:r>
          </w:p>
        </w:tc>
      </w:tr>
      <w:tr>
        <w:tc>
          <w:tcPr>
            <w:tcW w:type="dxa" w:w="2400"/>
            <w:shd w:fill="FFFFFF" w:val="clear"/>
            <w:tcMar>
              <w:top w:type="dxa" w:w="90"/>
              <w:left w:type="dxa" w:w="120"/>
              <w:bottom w:type="dxa" w:w="90"/>
              <w:right w:type="dxa" w:w="120"/>
            </w:tcMar>
          </w:tcPr>
          <w:p>
            <w:pPr>
              <w:spacing w:line="260"/>
            </w:pPr>
            <w:r>
              <w:rPr>
                <w:color w:val="1A1A1A"/>
                <w:sz w:val="19"/>
                <w:szCs w:val="19"/>
              </w:rPr>
              <w:t xml:space="preserve">Knowledge Stores</w:t>
            </w:r>
          </w:p>
        </w:tc>
        <w:tc>
          <w:tcPr>
            <w:tcW w:type="dxa" w:w="4200"/>
            <w:shd w:fill="FFFFFF" w:val="clear"/>
            <w:tcMar>
              <w:top w:type="dxa" w:w="90"/>
              <w:left w:type="dxa" w:w="120"/>
              <w:bottom w:type="dxa" w:w="90"/>
              <w:right w:type="dxa" w:w="120"/>
            </w:tcMar>
          </w:tcPr>
          <w:p>
            <w:pPr>
              <w:spacing w:line="260"/>
            </w:pPr>
            <w:r>
              <w:rPr>
                <w:color w:val="1A1A1A"/>
                <w:sz w:val="19"/>
                <w:szCs w:val="19"/>
              </w:rPr>
              <w:t xml:space="preserve">Persists structured facts (graph) and semantic chunks (vectors)</w:t>
            </w:r>
          </w:p>
        </w:tc>
        <w:tc>
          <w:tcPr>
            <w:tcW w:type="dxa" w:w="2750"/>
            <w:shd w:fill="FFFFFF" w:val="clear"/>
            <w:tcMar>
              <w:top w:type="dxa" w:w="90"/>
              <w:left w:type="dxa" w:w="120"/>
              <w:bottom w:type="dxa" w:w="90"/>
              <w:right w:type="dxa" w:w="120"/>
            </w:tcMar>
          </w:tcPr>
          <w:p>
            <w:pPr>
              <w:spacing w:line="260"/>
            </w:pPr>
            <w:r>
              <w:rPr>
                <w:color w:val="1A1A1A"/>
                <w:sz w:val="19"/>
                <w:szCs w:val="19"/>
              </w:rPr>
              <w:t xml:space="preserve">Neo4j AuraDB + Qdrant Cloud</w:t>
            </w:r>
          </w:p>
        </w:tc>
      </w:tr>
      <w:tr>
        <w:tc>
          <w:tcPr>
            <w:tcW w:type="dxa" w:w="2400"/>
            <w:shd w:fill="F4F7F9" w:val="clear"/>
            <w:tcMar>
              <w:top w:type="dxa" w:w="90"/>
              <w:left w:type="dxa" w:w="120"/>
              <w:bottom w:type="dxa" w:w="90"/>
              <w:right w:type="dxa" w:w="120"/>
            </w:tcMar>
          </w:tcPr>
          <w:p>
            <w:pPr>
              <w:spacing w:line="260"/>
            </w:pPr>
            <w:r>
              <w:rPr>
                <w:color w:val="1A1A1A"/>
                <w:sz w:val="19"/>
                <w:szCs w:val="19"/>
              </w:rPr>
              <w:t xml:space="preserve">Agent / Reasoning Layer</w:t>
            </w:r>
          </w:p>
        </w:tc>
        <w:tc>
          <w:tcPr>
            <w:tcW w:type="dxa" w:w="4200"/>
            <w:shd w:fill="F4F7F9" w:val="clear"/>
            <w:tcMar>
              <w:top w:type="dxa" w:w="90"/>
              <w:left w:type="dxa" w:w="120"/>
              <w:bottom w:type="dxa" w:w="90"/>
              <w:right w:type="dxa" w:w="120"/>
            </w:tcMar>
          </w:tcPr>
          <w:p>
            <w:pPr>
              <w:spacing w:line="260"/>
            </w:pPr>
            <w:r>
              <w:rPr>
                <w:color w:val="1A1A1A"/>
                <w:sz w:val="19"/>
                <w:szCs w:val="19"/>
              </w:rPr>
              <w:t xml:space="preserve">Answers questions and checks compliance using the stores above</w:t>
            </w:r>
          </w:p>
        </w:tc>
        <w:tc>
          <w:tcPr>
            <w:tcW w:type="dxa" w:w="2750"/>
            <w:shd w:fill="F4F7F9" w:val="clear"/>
            <w:tcMar>
              <w:top w:type="dxa" w:w="90"/>
              <w:left w:type="dxa" w:w="120"/>
              <w:bottom w:type="dxa" w:w="90"/>
              <w:right w:type="dxa" w:w="120"/>
            </w:tcMar>
          </w:tcPr>
          <w:p>
            <w:pPr>
              <w:spacing w:line="260"/>
            </w:pPr>
            <w:r>
              <w:rPr>
                <w:color w:val="1A1A1A"/>
                <w:sz w:val="19"/>
                <w:szCs w:val="19"/>
              </w:rPr>
              <w:t xml:space="preserve">Gemini (Copilot) + Ollama/qwen3-vl:4b (Compliance)</w:t>
            </w:r>
          </w:p>
        </w:tc>
      </w:tr>
      <w:tr>
        <w:tc>
          <w:tcPr>
            <w:tcW w:type="dxa" w:w="2400"/>
            <w:shd w:fill="FFFFFF" w:val="clear"/>
            <w:tcMar>
              <w:top w:type="dxa" w:w="90"/>
              <w:left w:type="dxa" w:w="120"/>
              <w:bottom w:type="dxa" w:w="90"/>
              <w:right w:type="dxa" w:w="120"/>
            </w:tcMar>
          </w:tcPr>
          <w:p>
            <w:pPr>
              <w:spacing w:line="260"/>
            </w:pPr>
            <w:r>
              <w:rPr>
                <w:color w:val="1A1A1A"/>
                <w:sz w:val="19"/>
                <w:szCs w:val="19"/>
              </w:rPr>
              <w:t xml:space="preserve">Delivery Interfaces</w:t>
            </w:r>
          </w:p>
        </w:tc>
        <w:tc>
          <w:tcPr>
            <w:tcW w:type="dxa" w:w="4200"/>
            <w:shd w:fill="FFFFFF" w:val="clear"/>
            <w:tcMar>
              <w:top w:type="dxa" w:w="90"/>
              <w:left w:type="dxa" w:w="120"/>
              <w:bottom w:type="dxa" w:w="90"/>
              <w:right w:type="dxa" w:w="120"/>
            </w:tcMar>
          </w:tcPr>
          <w:p>
            <w:pPr>
              <w:spacing w:line="260"/>
            </w:pPr>
            <w:r>
              <w:rPr>
                <w:color w:val="1A1A1A"/>
                <w:sz w:val="19"/>
                <w:szCs w:val="19"/>
              </w:rPr>
              <w:t xml:space="preserve">Puts answers in front of a human, hands-free or manual</w:t>
            </w:r>
          </w:p>
        </w:tc>
        <w:tc>
          <w:tcPr>
            <w:tcW w:type="dxa" w:w="2750"/>
            <w:shd w:fill="FFFFFF" w:val="clear"/>
            <w:tcMar>
              <w:top w:type="dxa" w:w="90"/>
              <w:left w:type="dxa" w:w="120"/>
              <w:bottom w:type="dxa" w:w="90"/>
              <w:right w:type="dxa" w:w="120"/>
            </w:tcMar>
          </w:tcPr>
          <w:p>
            <w:pPr>
              <w:spacing w:line="260"/>
            </w:pPr>
            <w:r>
              <w:rPr>
                <w:color w:val="1A1A1A"/>
                <w:sz w:val="19"/>
                <w:szCs w:val="19"/>
              </w:rPr>
              <w:t xml:space="preserve">Lumos AI Glasses, Mobile Web Console</w:t>
            </w:r>
          </w:p>
        </w:tc>
      </w:tr>
    </w:tbl>
    <w:p>
      <w:pPr>
        <w:spacing w:after="120"/>
      </w:pPr>
    </w:p>
    <w:p>
      <w:pPr>
        <w:pStyle w:val="Heading2"/>
        <w:spacing w:after="120" w:before="280"/>
      </w:pPr>
      <w:r>
        <w:t xml:space="preserve">3.2 Why a knowledge graph, not just RAG</w:t>
      </w:r>
    </w:p>
    <w:p>
      <w:pPr>
        <w:spacing w:after="160" w:line="300"/>
      </w:pPr>
      <w:r>
        <w:rPr>
          <w:color w:val="1A1A1A"/>
          <w:sz w:val="22"/>
          <w:szCs w:val="22"/>
        </w:rPr>
        <w:t xml:space="preserve">Plain RAG answers "what does this document say." A knowledge graph answers "what is true across all documents about this equipment" — it can traverse relationships that a vector search has no concept of. The clearest example from this build:</w:t>
      </w:r>
    </w:p>
    <w:tbl>
      <w:tblPr>
        <w:tblW w:type="pct" w:w="100%"/>
        <w:tblBorders>
          <w:top w:val="single" w:color="0E8A99" w:sz="4"/>
          <w:left w:val="single" w:color="0E8A99" w:sz="24"/>
          <w:bottom w:val="single" w:color="0E8A99" w:sz="4"/>
          <w:right w:val="single" w:color="0E8A99" w:sz="4"/>
          <w:insideH w:val="single" w:color="auto" w:sz="4"/>
          <w:insideV w:val="single" w:color="auto" w:sz="4"/>
        </w:tblBorders>
      </w:tblPr>
      <w:tblGrid>
        <w:gridCol w:w="100"/>
      </w:tblGrid>
      <w:tr>
        <w:tc>
          <w:tcPr>
            <w:shd w:fill="F4F7F9" w:val="clear"/>
            <w:tcMar>
              <w:top w:type="dxa" w:w="160"/>
              <w:left w:type="dxa" w:w="220"/>
              <w:bottom w:type="dxa" w:w="160"/>
              <w:right w:type="dxa" w:w="220"/>
            </w:tcMar>
          </w:tcPr>
          <w:p>
            <w:pPr>
              <w:spacing w:after="60"/>
            </w:pPr>
            <w:r>
              <w:rPr>
                <w:b/>
                <w:bCs/>
                <w:caps/>
                <w:color w:val="0E8A99"/>
                <w:sz w:val="20"/>
                <w:szCs w:val="20"/>
              </w:rPr>
              <w:t xml:space="preserve">Worked example — "Why does PMP-204 keep failing?"</w:t>
            </w:r>
          </w:p>
          <w:p>
            <w:pPr>
              <w:spacing w:line="280"/>
            </w:pPr>
            <w:r>
              <w:rPr>
                <w:color w:val="1A1A1A"/>
                <w:sz w:val="21"/>
                <w:szCs w:val="21"/>
              </w:rPr>
              <w:t xml:space="preserve">PMP-204 (Equipment) ← two incident reports, linked to each other by a SIMILAR_TO relationship, confirming a recurring failure pattern → both incidents fed into a SUPERSEDES relationship between two SOP revisions, so the system knows the 180-day-interval procedure is outdated and why → the current procedure cites a regulatory clause → an engineer's undocumented tacit-knowledge note about an early-warning sign is also linked in. Seven hops, five node types, one answer — no vector similarity search can construct this, because vector search treats each document chunk independently and has no concept of "supersedes" or "similar failure pattern" as a structural fact.</w:t>
            </w:r>
          </w:p>
        </w:tc>
      </w:tr>
    </w:tbl>
    <w:p>
      <w:pPr>
        <w:spacing w:after="120"/>
      </w:pPr>
    </w:p>
    <w:p>
      <w:pPr>
        <w:pStyle w:val="Heading2"/>
        <w:spacing w:after="120" w:before="280"/>
      </w:pPr>
      <w:r>
        <w:t xml:space="preserve">3.3 Knowledge graph, in numbers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0A1628" w:val="clear"/>
            <w:tcMar>
              <w:top w:type="dxa" w:w="100"/>
              <w:left w:type="dxa" w:w="120"/>
              <w:bottom w:type="dxa" w:w="100"/>
              <w:right w:type="dxa" w:w="120"/>
            </w:tcMar>
          </w:tcPr>
          <w:p>
            <w:r>
              <w:rPr>
                <w:b/>
                <w:bCs/>
                <w:color w:val="FFFFFF"/>
                <w:sz w:val="19"/>
                <w:szCs w:val="19"/>
              </w:rPr>
              <w:t xml:space="preserve">Metric</w:t>
            </w:r>
          </w:p>
        </w:tc>
        <w:tc>
          <w:tcPr>
            <w:tcW w:type="dxa" w:w="5150"/>
            <w:shd w:fill="0A1628" w:val="clear"/>
            <w:tcMar>
              <w:top w:type="dxa" w:w="100"/>
              <w:left w:type="dxa" w:w="120"/>
              <w:bottom w:type="dxa" w:w="100"/>
              <w:right w:type="dxa" w:w="120"/>
            </w:tcMar>
          </w:tcPr>
          <w:p>
            <w:r>
              <w:rPr>
                <w:b/>
                <w:bCs/>
                <w:color w:val="FFFFFF"/>
                <w:sz w:val="19"/>
                <w:szCs w:val="19"/>
              </w:rPr>
              <w:t xml:space="preserve">Value</w:t>
            </w:r>
          </w:p>
        </w:tc>
      </w:tr>
      <w:tr>
        <w:tc>
          <w:tcPr>
            <w:tcW w:type="dxa" w:w="4200"/>
            <w:shd w:fill="FFFFFF" w:val="clear"/>
            <w:tcMar>
              <w:top w:type="dxa" w:w="90"/>
              <w:left w:type="dxa" w:w="120"/>
              <w:bottom w:type="dxa" w:w="90"/>
              <w:right w:type="dxa" w:w="120"/>
            </w:tcMar>
          </w:tcPr>
          <w:p>
            <w:pPr>
              <w:spacing w:line="260"/>
            </w:pPr>
            <w:r>
              <w:rPr>
                <w:color w:val="1A1A1A"/>
                <w:sz w:val="19"/>
                <w:szCs w:val="19"/>
              </w:rPr>
              <w:t xml:space="preserve">Source documents ingested</w:t>
            </w:r>
          </w:p>
        </w:tc>
        <w:tc>
          <w:tcPr>
            <w:tcW w:type="dxa" w:w="5150"/>
            <w:shd w:fill="FFFFFF" w:val="clear"/>
            <w:tcMar>
              <w:top w:type="dxa" w:w="90"/>
              <w:left w:type="dxa" w:w="120"/>
              <w:bottom w:type="dxa" w:w="90"/>
              <w:right w:type="dxa" w:w="120"/>
            </w:tcMar>
          </w:tcPr>
          <w:p>
            <w:pPr>
              <w:spacing w:line="260"/>
            </w:pPr>
            <w:r>
              <w:rPr>
                <w:color w:val="1A1A1A"/>
                <w:sz w:val="19"/>
                <w:szCs w:val="19"/>
              </w:rPr>
              <w:t xml:space="preserve">12 (equipment list, 4 SOPs, 1 regulatory excerpt, 5 incident/work-order reports, 1 tacit-knowledge capture)</w:t>
            </w:r>
          </w:p>
        </w:tc>
      </w:tr>
      <w:tr>
        <w:tc>
          <w:tcPr>
            <w:tcW w:type="dxa" w:w="4200"/>
            <w:shd w:fill="F4F7F9" w:val="clear"/>
            <w:tcMar>
              <w:top w:type="dxa" w:w="90"/>
              <w:left w:type="dxa" w:w="120"/>
              <w:bottom w:type="dxa" w:w="90"/>
              <w:right w:type="dxa" w:w="120"/>
            </w:tcMar>
          </w:tcPr>
          <w:p>
            <w:pPr>
              <w:spacing w:line="260"/>
            </w:pPr>
            <w:r>
              <w:rPr>
                <w:color w:val="1A1A1A"/>
                <w:sz w:val="19"/>
                <w:szCs w:val="19"/>
              </w:rPr>
              <w:t xml:space="preserve">Graph nodes extracted</w:t>
            </w:r>
          </w:p>
        </w:tc>
        <w:tc>
          <w:tcPr>
            <w:tcW w:type="dxa" w:w="5150"/>
            <w:shd w:fill="F4F7F9" w:val="clear"/>
            <w:tcMar>
              <w:top w:type="dxa" w:w="90"/>
              <w:left w:type="dxa" w:w="120"/>
              <w:bottom w:type="dxa" w:w="90"/>
              <w:right w:type="dxa" w:w="120"/>
            </w:tcMar>
          </w:tcPr>
          <w:p>
            <w:pPr>
              <w:spacing w:line="260"/>
            </w:pPr>
            <w:r>
              <w:rPr>
                <w:color w:val="1A1A1A"/>
                <w:sz w:val="19"/>
                <w:szCs w:val="19"/>
              </w:rPr>
              <w:t xml:space="preserve">88</w:t>
            </w:r>
          </w:p>
        </w:tc>
      </w:tr>
      <w:tr>
        <w:tc>
          <w:tcPr>
            <w:tcW w:type="dxa" w:w="4200"/>
            <w:shd w:fill="FFFFFF" w:val="clear"/>
            <w:tcMar>
              <w:top w:type="dxa" w:w="90"/>
              <w:left w:type="dxa" w:w="120"/>
              <w:bottom w:type="dxa" w:w="90"/>
              <w:right w:type="dxa" w:w="120"/>
            </w:tcMar>
          </w:tcPr>
          <w:p>
            <w:pPr>
              <w:spacing w:line="260"/>
            </w:pPr>
            <w:r>
              <w:rPr>
                <w:color w:val="1A1A1A"/>
                <w:sz w:val="19"/>
                <w:szCs w:val="19"/>
              </w:rPr>
              <w:t xml:space="preserve">Graph relationships extracted</w:t>
            </w:r>
          </w:p>
        </w:tc>
        <w:tc>
          <w:tcPr>
            <w:tcW w:type="dxa" w:w="5150"/>
            <w:shd w:fill="FFFFFF" w:val="clear"/>
            <w:tcMar>
              <w:top w:type="dxa" w:w="90"/>
              <w:left w:type="dxa" w:w="120"/>
              <w:bottom w:type="dxa" w:w="90"/>
              <w:right w:type="dxa" w:w="120"/>
            </w:tcMar>
          </w:tcPr>
          <w:p>
            <w:pPr>
              <w:spacing w:line="260"/>
            </w:pPr>
            <w:r>
              <w:rPr>
                <w:color w:val="1A1A1A"/>
                <w:sz w:val="19"/>
                <w:szCs w:val="19"/>
              </w:rPr>
              <w:t xml:space="preserve">144</w:t>
            </w:r>
          </w:p>
        </w:tc>
      </w:tr>
      <w:tr>
        <w:tc>
          <w:tcPr>
            <w:tcW w:type="dxa" w:w="4200"/>
            <w:shd w:fill="F4F7F9" w:val="clear"/>
            <w:tcMar>
              <w:top w:type="dxa" w:w="90"/>
              <w:left w:type="dxa" w:w="120"/>
              <w:bottom w:type="dxa" w:w="90"/>
              <w:right w:type="dxa" w:w="120"/>
            </w:tcMar>
          </w:tcPr>
          <w:p>
            <w:pPr>
              <w:spacing w:line="260"/>
            </w:pPr>
            <w:r>
              <w:rPr>
                <w:color w:val="1A1A1A"/>
                <w:sz w:val="19"/>
                <w:szCs w:val="19"/>
              </w:rPr>
              <w:t xml:space="preserve">Node types</w:t>
            </w:r>
          </w:p>
        </w:tc>
        <w:tc>
          <w:tcPr>
            <w:tcW w:type="dxa" w:w="5150"/>
            <w:shd w:fill="F4F7F9" w:val="clear"/>
            <w:tcMar>
              <w:top w:type="dxa" w:w="90"/>
              <w:left w:type="dxa" w:w="120"/>
              <w:bottom w:type="dxa" w:w="90"/>
              <w:right w:type="dxa" w:w="120"/>
            </w:tcMar>
          </w:tcPr>
          <w:p>
            <w:pPr>
              <w:spacing w:line="260"/>
            </w:pPr>
            <w:r>
              <w:rPr>
                <w:color w:val="1A1A1A"/>
                <w:sz w:val="19"/>
                <w:szCs w:val="19"/>
              </w:rPr>
              <w:t xml:space="preserve">Plant, Unit, Zone, Equipment, SOP, RegulatoryClause, IncidentReport, WorkOrder, Engineer, TacitKnowledge, Vendor</w:t>
            </w:r>
          </w:p>
        </w:tc>
      </w:tr>
      <w:tr>
        <w:tc>
          <w:tcPr>
            <w:tcW w:type="dxa" w:w="4200"/>
            <w:shd w:fill="FFFFFF" w:val="clear"/>
            <w:tcMar>
              <w:top w:type="dxa" w:w="90"/>
              <w:left w:type="dxa" w:w="120"/>
              <w:bottom w:type="dxa" w:w="90"/>
              <w:right w:type="dxa" w:w="120"/>
            </w:tcMar>
          </w:tcPr>
          <w:p>
            <w:pPr>
              <w:spacing w:line="260"/>
            </w:pPr>
            <w:r>
              <w:rPr>
                <w:color w:val="1A1A1A"/>
                <w:sz w:val="19"/>
                <w:szCs w:val="19"/>
              </w:rPr>
              <w:t xml:space="preserve">Key relationship types</w:t>
            </w:r>
          </w:p>
        </w:tc>
        <w:tc>
          <w:tcPr>
            <w:tcW w:type="dxa" w:w="5150"/>
            <w:shd w:fill="FFFFFF" w:val="clear"/>
            <w:tcMar>
              <w:top w:type="dxa" w:w="90"/>
              <w:left w:type="dxa" w:w="120"/>
              <w:bottom w:type="dxa" w:w="90"/>
              <w:right w:type="dxa" w:w="120"/>
            </w:tcMar>
          </w:tcPr>
          <w:p>
            <w:pPr>
              <w:spacing w:line="260"/>
            </w:pPr>
            <w:r>
              <w:rPr>
                <w:color w:val="1A1A1A"/>
                <w:sz w:val="19"/>
                <w:szCs w:val="19"/>
              </w:rPr>
              <w:t xml:space="preserve">GOVERNS, APPLIES_TO, SUPERSEDES, REVISED_DUE_TO, SIMILAR_TO, CITES, VIOLATES, EXPERT_IN</w:t>
            </w:r>
          </w:p>
        </w:tc>
      </w:tr>
    </w:tbl>
    <w:p>
      <w:pPr>
        <w:spacing w:after="120"/>
      </w:pPr>
    </w:p>
    <w:p>
      <w:pPr>
        <w:pStyle w:val="Heading1"/>
        <w:spacing w:after="160" w:before="360"/>
      </w:pPr>
      <w:r>
        <w:t xml:space="preserve">4.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0A1628" w:val="clear"/>
            <w:tcMar>
              <w:top w:type="dxa" w:w="100"/>
              <w:left w:type="dxa" w:w="120"/>
              <w:bottom w:type="dxa" w:w="100"/>
              <w:right w:type="dxa" w:w="120"/>
            </w:tcMar>
          </w:tcPr>
          <w:p>
            <w:r>
              <w:rPr>
                <w:b/>
                <w:bCs/>
                <w:color w:val="FFFFFF"/>
                <w:sz w:val="19"/>
                <w:szCs w:val="19"/>
              </w:rPr>
              <w:t xml:space="preserve">Layer</w:t>
            </w:r>
          </w:p>
        </w:tc>
        <w:tc>
          <w:tcPr>
            <w:tcW w:type="dxa" w:w="3400"/>
            <w:shd w:fill="0A1628" w:val="clear"/>
            <w:tcMar>
              <w:top w:type="dxa" w:w="100"/>
              <w:left w:type="dxa" w:w="120"/>
              <w:bottom w:type="dxa" w:w="100"/>
              <w:right w:type="dxa" w:w="120"/>
            </w:tcMar>
          </w:tcPr>
          <w:p>
            <w:r>
              <w:rPr>
                <w:b/>
                <w:bCs/>
                <w:color w:val="FFFFFF"/>
                <w:sz w:val="19"/>
                <w:szCs w:val="19"/>
              </w:rPr>
              <w:t xml:space="preserve">Choice</w:t>
            </w:r>
          </w:p>
        </w:tc>
        <w:tc>
          <w:tcPr>
            <w:tcW w:type="dxa" w:w="3350"/>
            <w:shd w:fill="0A1628" w:val="clear"/>
            <w:tcMar>
              <w:top w:type="dxa" w:w="100"/>
              <w:left w:type="dxa" w:w="120"/>
              <w:bottom w:type="dxa" w:w="100"/>
              <w:right w:type="dxa" w:w="120"/>
            </w:tcMar>
          </w:tcPr>
          <w:p>
            <w:r>
              <w:rPr>
                <w:b/>
                <w:bCs/>
                <w:color w:val="FFFFFF"/>
                <w:sz w:val="19"/>
                <w:szCs w:val="19"/>
              </w:rPr>
              <w:t xml:space="preserve">Notes</w:t>
            </w:r>
          </w:p>
        </w:tc>
      </w:tr>
      <w:tr>
        <w:tc>
          <w:tcPr>
            <w:tcW w:type="dxa" w:w="2600"/>
            <w:shd w:fill="FFFFFF" w:val="clear"/>
            <w:tcMar>
              <w:top w:type="dxa" w:w="90"/>
              <w:left w:type="dxa" w:w="120"/>
              <w:bottom w:type="dxa" w:w="90"/>
              <w:right w:type="dxa" w:w="120"/>
            </w:tcMar>
          </w:tcPr>
          <w:p>
            <w:pPr>
              <w:spacing w:line="260"/>
            </w:pPr>
            <w:r>
              <w:rPr>
                <w:color w:val="1A1A1A"/>
                <w:sz w:val="19"/>
                <w:szCs w:val="19"/>
              </w:rPr>
              <w:t xml:space="preserve">Backend framework</w:t>
            </w:r>
          </w:p>
        </w:tc>
        <w:tc>
          <w:tcPr>
            <w:tcW w:type="dxa" w:w="3400"/>
            <w:shd w:fill="FFFFFF" w:val="clear"/>
            <w:tcMar>
              <w:top w:type="dxa" w:w="90"/>
              <w:left w:type="dxa" w:w="120"/>
              <w:bottom w:type="dxa" w:w="90"/>
              <w:right w:type="dxa" w:w="120"/>
            </w:tcMar>
          </w:tcPr>
          <w:p>
            <w:pPr>
              <w:spacing w:line="260"/>
            </w:pPr>
            <w:r>
              <w:rPr>
                <w:color w:val="1A1A1A"/>
                <w:sz w:val="19"/>
                <w:szCs w:val="19"/>
              </w:rPr>
              <w:t xml:space="preserve">Python 3.11 + FastAPI</w:t>
            </w:r>
          </w:p>
        </w:tc>
        <w:tc>
          <w:tcPr>
            <w:tcW w:type="dxa" w:w="3350"/>
            <w:shd w:fill="FFFFFF" w:val="clear"/>
            <w:tcMar>
              <w:top w:type="dxa" w:w="90"/>
              <w:left w:type="dxa" w:w="120"/>
              <w:bottom w:type="dxa" w:w="90"/>
              <w:right w:type="dxa" w:w="120"/>
            </w:tcMar>
          </w:tcPr>
          <w:p>
            <w:pPr>
              <w:spacing w:line="260"/>
            </w:pPr>
            <w:r>
              <w:rPr>
                <w:color w:val="1A1A1A"/>
                <w:sz w:val="19"/>
                <w:szCs w:val="19"/>
              </w:rPr>
              <w:t xml:space="preserve">One API, two reasoning endpoints, auto-generated docs at /docs</w:t>
            </w:r>
          </w:p>
        </w:tc>
      </w:tr>
      <w:tr>
        <w:tc>
          <w:tcPr>
            <w:tcW w:type="dxa" w:w="2600"/>
            <w:shd w:fill="F4F7F9" w:val="clear"/>
            <w:tcMar>
              <w:top w:type="dxa" w:w="90"/>
              <w:left w:type="dxa" w:w="120"/>
              <w:bottom w:type="dxa" w:w="90"/>
              <w:right w:type="dxa" w:w="120"/>
            </w:tcMar>
          </w:tcPr>
          <w:p>
            <w:pPr>
              <w:spacing w:line="260"/>
            </w:pPr>
            <w:r>
              <w:rPr>
                <w:color w:val="1A1A1A"/>
                <w:sz w:val="19"/>
                <w:szCs w:val="19"/>
              </w:rPr>
              <w:t xml:space="preserve">Knowledge graph</w:t>
            </w:r>
          </w:p>
        </w:tc>
        <w:tc>
          <w:tcPr>
            <w:tcW w:type="dxa" w:w="3400"/>
            <w:shd w:fill="F4F7F9" w:val="clear"/>
            <w:tcMar>
              <w:top w:type="dxa" w:w="90"/>
              <w:left w:type="dxa" w:w="120"/>
              <w:bottom w:type="dxa" w:w="90"/>
              <w:right w:type="dxa" w:w="120"/>
            </w:tcMar>
          </w:tcPr>
          <w:p>
            <w:pPr>
              <w:spacing w:line="260"/>
            </w:pPr>
            <w:r>
              <w:rPr>
                <w:color w:val="1A1A1A"/>
                <w:sz w:val="19"/>
                <w:szCs w:val="19"/>
              </w:rPr>
              <w:t xml:space="preserve">Neo4j AuraDB (free tier, cloud)</w:t>
            </w:r>
          </w:p>
        </w:tc>
        <w:tc>
          <w:tcPr>
            <w:tcW w:type="dxa" w:w="3350"/>
            <w:shd w:fill="F4F7F9" w:val="clear"/>
            <w:tcMar>
              <w:top w:type="dxa" w:w="90"/>
              <w:left w:type="dxa" w:w="120"/>
              <w:bottom w:type="dxa" w:w="90"/>
              <w:right w:type="dxa" w:w="120"/>
            </w:tcMar>
          </w:tcPr>
          <w:p>
            <w:pPr>
              <w:spacing w:line="260"/>
            </w:pPr>
            <w:r>
              <w:rPr>
                <w:color w:val="1A1A1A"/>
                <w:sz w:val="19"/>
                <w:szCs w:val="19"/>
              </w:rPr>
              <w:t xml:space="preserve">Multi-hop Cypher traversal; 88 nodes / 144 relationships</w:t>
            </w:r>
          </w:p>
        </w:tc>
      </w:tr>
      <w:tr>
        <w:tc>
          <w:tcPr>
            <w:tcW w:type="dxa" w:w="2600"/>
            <w:shd w:fill="FFFFFF" w:val="clear"/>
            <w:tcMar>
              <w:top w:type="dxa" w:w="90"/>
              <w:left w:type="dxa" w:w="120"/>
              <w:bottom w:type="dxa" w:w="90"/>
              <w:right w:type="dxa" w:w="120"/>
            </w:tcMar>
          </w:tcPr>
          <w:p>
            <w:pPr>
              <w:spacing w:line="260"/>
            </w:pPr>
            <w:r>
              <w:rPr>
                <w:color w:val="1A1A1A"/>
                <w:sz w:val="19"/>
                <w:szCs w:val="19"/>
              </w:rPr>
              <w:t xml:space="preserve">Vector store</w:t>
            </w:r>
          </w:p>
        </w:tc>
        <w:tc>
          <w:tcPr>
            <w:tcW w:type="dxa" w:w="3400"/>
            <w:shd w:fill="FFFFFF" w:val="clear"/>
            <w:tcMar>
              <w:top w:type="dxa" w:w="90"/>
              <w:left w:type="dxa" w:w="120"/>
              <w:bottom w:type="dxa" w:w="90"/>
              <w:right w:type="dxa" w:w="120"/>
            </w:tcMar>
          </w:tcPr>
          <w:p>
            <w:pPr>
              <w:spacing w:line="260"/>
            </w:pPr>
            <w:r>
              <w:rPr>
                <w:color w:val="1A1A1A"/>
                <w:sz w:val="19"/>
                <w:szCs w:val="19"/>
              </w:rPr>
              <w:t xml:space="preserve">Qdrant Cloud (free tier)</w:t>
            </w:r>
          </w:p>
        </w:tc>
        <w:tc>
          <w:tcPr>
            <w:tcW w:type="dxa" w:w="3350"/>
            <w:shd w:fill="FFFFFF" w:val="clear"/>
            <w:tcMar>
              <w:top w:type="dxa" w:w="90"/>
              <w:left w:type="dxa" w:w="120"/>
              <w:bottom w:type="dxa" w:w="90"/>
              <w:right w:type="dxa" w:w="120"/>
            </w:tcMar>
          </w:tcPr>
          <w:p>
            <w:pPr>
              <w:spacing w:line="260"/>
            </w:pPr>
            <w:r>
              <w:rPr>
                <w:color w:val="1A1A1A"/>
                <w:sz w:val="19"/>
                <w:szCs w:val="19"/>
              </w:rPr>
              <w:t xml:space="preserve">768-dim normalized embeddings, metadata-filtered hybrid retrieval</w:t>
            </w:r>
          </w:p>
        </w:tc>
      </w:tr>
      <w:tr>
        <w:tc>
          <w:tcPr>
            <w:tcW w:type="dxa" w:w="2600"/>
            <w:shd w:fill="F4F7F9" w:val="clear"/>
            <w:tcMar>
              <w:top w:type="dxa" w:w="90"/>
              <w:left w:type="dxa" w:w="120"/>
              <w:bottom w:type="dxa" w:w="90"/>
              <w:right w:type="dxa" w:w="120"/>
            </w:tcMar>
          </w:tcPr>
          <w:p>
            <w:pPr>
              <w:spacing w:line="260"/>
            </w:pPr>
            <w:r>
              <w:rPr>
                <w:color w:val="1A1A1A"/>
                <w:sz w:val="19"/>
                <w:szCs w:val="19"/>
              </w:rPr>
              <w:t xml:space="preserve">Copilot generation model</w:t>
            </w:r>
          </w:p>
        </w:tc>
        <w:tc>
          <w:tcPr>
            <w:tcW w:type="dxa" w:w="3400"/>
            <w:shd w:fill="F4F7F9" w:val="clear"/>
            <w:tcMar>
              <w:top w:type="dxa" w:w="90"/>
              <w:left w:type="dxa" w:w="120"/>
              <w:bottom w:type="dxa" w:w="90"/>
              <w:right w:type="dxa" w:w="120"/>
            </w:tcMar>
          </w:tcPr>
          <w:p>
            <w:pPr>
              <w:spacing w:line="260"/>
            </w:pPr>
            <w:r>
              <w:rPr>
                <w:color w:val="1A1A1A"/>
                <w:sz w:val="19"/>
                <w:szCs w:val="19"/>
              </w:rPr>
              <w:t xml:space="preserve">Gemini 2.5 Flash-Lite</w:t>
            </w:r>
          </w:p>
        </w:tc>
        <w:tc>
          <w:tcPr>
            <w:tcW w:type="dxa" w:w="3350"/>
            <w:shd w:fill="F4F7F9" w:val="clear"/>
            <w:tcMar>
              <w:top w:type="dxa" w:w="90"/>
              <w:left w:type="dxa" w:w="120"/>
              <w:bottom w:type="dxa" w:w="90"/>
              <w:right w:type="dxa" w:w="120"/>
            </w:tcMar>
          </w:tcPr>
          <w:p>
            <w:pPr>
              <w:spacing w:line="260"/>
            </w:pPr>
            <w:r>
              <w:rPr>
                <w:color w:val="1A1A1A"/>
                <w:sz w:val="19"/>
                <w:szCs w:val="19"/>
              </w:rPr>
              <w:t xml:space="preserve">Free tier; used for /ask — general Q&amp;A with citations</w:t>
            </w:r>
          </w:p>
        </w:tc>
      </w:tr>
      <w:tr>
        <w:tc>
          <w:tcPr>
            <w:tcW w:type="dxa" w:w="2600"/>
            <w:shd w:fill="FFFFFF" w:val="clear"/>
            <w:tcMar>
              <w:top w:type="dxa" w:w="90"/>
              <w:left w:type="dxa" w:w="120"/>
              <w:bottom w:type="dxa" w:w="90"/>
              <w:right w:type="dxa" w:w="120"/>
            </w:tcMar>
          </w:tcPr>
          <w:p>
            <w:pPr>
              <w:spacing w:line="260"/>
            </w:pPr>
            <w:r>
              <w:rPr>
                <w:color w:val="1A1A1A"/>
                <w:sz w:val="19"/>
                <w:szCs w:val="19"/>
              </w:rPr>
              <w:t xml:space="preserve">Embedding model</w:t>
            </w:r>
          </w:p>
        </w:tc>
        <w:tc>
          <w:tcPr>
            <w:tcW w:type="dxa" w:w="3400"/>
            <w:shd w:fill="FFFFFF" w:val="clear"/>
            <w:tcMar>
              <w:top w:type="dxa" w:w="90"/>
              <w:left w:type="dxa" w:w="120"/>
              <w:bottom w:type="dxa" w:w="90"/>
              <w:right w:type="dxa" w:w="120"/>
            </w:tcMar>
          </w:tcPr>
          <w:p>
            <w:pPr>
              <w:spacing w:line="260"/>
            </w:pPr>
            <w:r>
              <w:rPr>
                <w:color w:val="1A1A1A"/>
                <w:sz w:val="19"/>
                <w:szCs w:val="19"/>
              </w:rPr>
              <w:t xml:space="preserve">Gemini embedding-001</w:t>
            </w:r>
          </w:p>
        </w:tc>
        <w:tc>
          <w:tcPr>
            <w:tcW w:type="dxa" w:w="3350"/>
            <w:shd w:fill="FFFFFF" w:val="clear"/>
            <w:tcMar>
              <w:top w:type="dxa" w:w="90"/>
              <w:left w:type="dxa" w:w="120"/>
              <w:bottom w:type="dxa" w:w="90"/>
              <w:right w:type="dxa" w:w="120"/>
            </w:tcMar>
          </w:tcPr>
          <w:p>
            <w:pPr>
              <w:spacing w:line="260"/>
            </w:pPr>
            <w:r>
              <w:rPr>
                <w:color w:val="1A1A1A"/>
                <w:sz w:val="19"/>
                <w:szCs w:val="19"/>
              </w:rPr>
              <w:t xml:space="preserve">768-dim, manually normalized (Google's requirement at non-default dimension)</w:t>
            </w:r>
          </w:p>
        </w:tc>
      </w:tr>
      <w:tr>
        <w:tc>
          <w:tcPr>
            <w:tcW w:type="dxa" w:w="2600"/>
            <w:shd w:fill="F4F7F9" w:val="clear"/>
            <w:tcMar>
              <w:top w:type="dxa" w:w="90"/>
              <w:left w:type="dxa" w:w="120"/>
              <w:bottom w:type="dxa" w:w="90"/>
              <w:right w:type="dxa" w:w="120"/>
            </w:tcMar>
          </w:tcPr>
          <w:p>
            <w:pPr>
              <w:spacing w:line="260"/>
            </w:pPr>
            <w:r>
              <w:rPr>
                <w:color w:val="1A1A1A"/>
                <w:sz w:val="19"/>
                <w:szCs w:val="19"/>
              </w:rPr>
              <w:t xml:space="preserve">Compliance generation model</w:t>
            </w:r>
          </w:p>
        </w:tc>
        <w:tc>
          <w:tcPr>
            <w:tcW w:type="dxa" w:w="3400"/>
            <w:shd w:fill="F4F7F9" w:val="clear"/>
            <w:tcMar>
              <w:top w:type="dxa" w:w="90"/>
              <w:left w:type="dxa" w:w="120"/>
              <w:bottom w:type="dxa" w:w="90"/>
              <w:right w:type="dxa" w:w="120"/>
            </w:tcMar>
          </w:tcPr>
          <w:p>
            <w:pPr>
              <w:spacing w:line="260"/>
            </w:pPr>
            <w:r>
              <w:rPr>
                <w:color w:val="1A1A1A"/>
                <w:sz w:val="19"/>
                <w:szCs w:val="19"/>
              </w:rPr>
              <w:t xml:space="preserve">Ollama + qwen3-vl:4b (local)</w:t>
            </w:r>
          </w:p>
        </w:tc>
        <w:tc>
          <w:tcPr>
            <w:tcW w:type="dxa" w:w="3350"/>
            <w:shd w:fill="F4F7F9" w:val="clear"/>
            <w:tcMar>
              <w:top w:type="dxa" w:w="90"/>
              <w:left w:type="dxa" w:w="120"/>
              <w:bottom w:type="dxa" w:w="90"/>
              <w:right w:type="dxa" w:w="120"/>
            </w:tcMar>
          </w:tcPr>
          <w:p>
            <w:pPr>
              <w:spacing w:line="260"/>
            </w:pPr>
            <w:r>
              <w:rPr>
                <w:color w:val="1A1A1A"/>
                <w:sz w:val="19"/>
                <w:szCs w:val="19"/>
              </w:rPr>
              <w:t xml:space="preserve">Fully offline; runs on the same RTX 4050 laptop that will run the real product</w:t>
            </w:r>
          </w:p>
        </w:tc>
      </w:tr>
      <w:tr>
        <w:tc>
          <w:tcPr>
            <w:tcW w:type="dxa" w:w="2600"/>
            <w:shd w:fill="FFFFFF" w:val="clear"/>
            <w:tcMar>
              <w:top w:type="dxa" w:w="90"/>
              <w:left w:type="dxa" w:w="120"/>
              <w:bottom w:type="dxa" w:w="90"/>
              <w:right w:type="dxa" w:w="120"/>
            </w:tcMar>
          </w:tcPr>
          <w:p>
            <w:pPr>
              <w:spacing w:line="260"/>
            </w:pPr>
            <w:r>
              <w:rPr>
                <w:color w:val="1A1A1A"/>
                <w:sz w:val="19"/>
                <w:szCs w:val="19"/>
              </w:rPr>
              <w:t xml:space="preserve">Document extraction model</w:t>
            </w:r>
          </w:p>
        </w:tc>
        <w:tc>
          <w:tcPr>
            <w:tcW w:type="dxa" w:w="3400"/>
            <w:shd w:fill="FFFFFF" w:val="clear"/>
            <w:tcMar>
              <w:top w:type="dxa" w:w="90"/>
              <w:left w:type="dxa" w:w="120"/>
              <w:bottom w:type="dxa" w:w="90"/>
              <w:right w:type="dxa" w:w="120"/>
            </w:tcMar>
          </w:tcPr>
          <w:p>
            <w:pPr>
              <w:spacing w:line="260"/>
            </w:pPr>
            <w:r>
              <w:rPr>
                <w:color w:val="1A1A1A"/>
                <w:sz w:val="19"/>
                <w:szCs w:val="19"/>
              </w:rPr>
              <w:t xml:space="preserve">Gemini 2.5 Flash-Lite</w:t>
            </w:r>
          </w:p>
        </w:tc>
        <w:tc>
          <w:tcPr>
            <w:tcW w:type="dxa" w:w="3350"/>
            <w:shd w:fill="FFFFFF" w:val="clear"/>
            <w:tcMar>
              <w:top w:type="dxa" w:w="90"/>
              <w:left w:type="dxa" w:w="120"/>
              <w:bottom w:type="dxa" w:w="90"/>
              <w:right w:type="dxa" w:w="120"/>
            </w:tcMar>
          </w:tcPr>
          <w:p>
            <w:pPr>
              <w:spacing w:line="260"/>
            </w:pPr>
            <w:r>
              <w:rPr>
                <w:color w:val="1A1A1A"/>
                <w:sz w:val="19"/>
                <w:szCs w:val="19"/>
              </w:rPr>
              <w:t xml:space="preserve">Structured JSON extraction against a fixed 11-node, 24-relationship schema</w:t>
            </w:r>
          </w:p>
        </w:tc>
      </w:tr>
      <w:tr>
        <w:tc>
          <w:tcPr>
            <w:tcW w:type="dxa" w:w="2600"/>
            <w:shd w:fill="F4F7F9" w:val="clear"/>
            <w:tcMar>
              <w:top w:type="dxa" w:w="90"/>
              <w:left w:type="dxa" w:w="120"/>
              <w:bottom w:type="dxa" w:w="90"/>
              <w:right w:type="dxa" w:w="120"/>
            </w:tcMar>
          </w:tcPr>
          <w:p>
            <w:pPr>
              <w:spacing w:line="260"/>
            </w:pPr>
            <w:r>
              <w:rPr>
                <w:color w:val="1A1A1A"/>
                <w:sz w:val="19"/>
                <w:szCs w:val="19"/>
              </w:rPr>
              <w:t xml:space="preserve">Glasses hardware</w:t>
            </w:r>
          </w:p>
        </w:tc>
        <w:tc>
          <w:tcPr>
            <w:tcW w:type="dxa" w:w="3400"/>
            <w:shd w:fill="F4F7F9" w:val="clear"/>
            <w:tcMar>
              <w:top w:type="dxa" w:w="90"/>
              <w:left w:type="dxa" w:w="120"/>
              <w:bottom w:type="dxa" w:w="90"/>
              <w:right w:type="dxa" w:w="120"/>
            </w:tcMar>
          </w:tcPr>
          <w:p>
            <w:pPr>
              <w:spacing w:line="260"/>
            </w:pPr>
            <w:r>
              <w:rPr>
                <w:color w:val="1A1A1A"/>
                <w:sz w:val="19"/>
                <w:szCs w:val="19"/>
              </w:rPr>
              <w:t xml:space="preserve">Raspberry Pi Zero W + CSI camera + transparent SSD1309 OLED</w:t>
            </w:r>
          </w:p>
        </w:tc>
        <w:tc>
          <w:tcPr>
            <w:tcW w:type="dxa" w:w="3350"/>
            <w:shd w:fill="F4F7F9" w:val="clear"/>
            <w:tcMar>
              <w:top w:type="dxa" w:w="90"/>
              <w:left w:type="dxa" w:w="120"/>
              <w:bottom w:type="dxa" w:w="90"/>
              <w:right w:type="dxa" w:w="120"/>
            </w:tcMar>
          </w:tcPr>
          <w:p>
            <w:pPr>
              <w:spacing w:line="260"/>
            </w:pPr>
            <w:r>
              <w:rPr>
                <w:color w:val="1A1A1A"/>
                <w:sz w:val="19"/>
                <w:szCs w:val="19"/>
              </w:rPr>
              <w:t xml:space="preserve">Edge capture/render node — no AI inference happens on-device</w:t>
            </w:r>
          </w:p>
        </w:tc>
      </w:tr>
      <w:tr>
        <w:tc>
          <w:tcPr>
            <w:tcW w:type="dxa" w:w="2600"/>
            <w:shd w:fill="FFFFFF" w:val="clear"/>
            <w:tcMar>
              <w:top w:type="dxa" w:w="90"/>
              <w:left w:type="dxa" w:w="120"/>
              <w:bottom w:type="dxa" w:w="90"/>
              <w:right w:type="dxa" w:w="120"/>
            </w:tcMar>
          </w:tcPr>
          <w:p>
            <w:pPr>
              <w:spacing w:line="260"/>
            </w:pPr>
            <w:r>
              <w:rPr>
                <w:color w:val="1A1A1A"/>
                <w:sz w:val="19"/>
                <w:szCs w:val="19"/>
              </w:rPr>
              <w:t xml:space="preserve">Glasses software</w:t>
            </w:r>
          </w:p>
        </w:tc>
        <w:tc>
          <w:tcPr>
            <w:tcW w:type="dxa" w:w="3400"/>
            <w:shd w:fill="FFFFFF" w:val="clear"/>
            <w:tcMar>
              <w:top w:type="dxa" w:w="90"/>
              <w:left w:type="dxa" w:w="120"/>
              <w:bottom w:type="dxa" w:w="90"/>
              <w:right w:type="dxa" w:w="120"/>
            </w:tcMar>
          </w:tcPr>
          <w:p>
            <w:pPr>
              <w:spacing w:line="260"/>
            </w:pPr>
            <w:r>
              <w:rPr>
                <w:color w:val="1A1A1A"/>
                <w:sz w:val="19"/>
                <w:szCs w:val="19"/>
              </w:rPr>
              <w:t xml:space="preserve">picamera2, OpenCV (QR decode), luma.oled, requests</w:t>
            </w:r>
          </w:p>
        </w:tc>
        <w:tc>
          <w:tcPr>
            <w:tcW w:type="dxa" w:w="3350"/>
            <w:shd w:fill="FFFFFF" w:val="clear"/>
            <w:tcMar>
              <w:top w:type="dxa" w:w="90"/>
              <w:left w:type="dxa" w:w="120"/>
              <w:bottom w:type="dxa" w:w="90"/>
              <w:right w:type="dxa" w:w="120"/>
            </w:tcMar>
          </w:tcPr>
          <w:p>
            <w:pPr>
              <w:spacing w:line="260"/>
            </w:pPr>
            <w:r>
              <w:rPr>
                <w:color w:val="1A1A1A"/>
                <w:sz w:val="19"/>
                <w:szCs w:val="19"/>
              </w:rPr>
              <w:t xml:space="preserve">Reads QR marker → calls backend → renders response</w:t>
            </w:r>
          </w:p>
        </w:tc>
      </w:tr>
      <w:tr>
        <w:tc>
          <w:tcPr>
            <w:tcW w:type="dxa" w:w="2600"/>
            <w:shd w:fill="F4F7F9" w:val="clear"/>
            <w:tcMar>
              <w:top w:type="dxa" w:w="90"/>
              <w:left w:type="dxa" w:w="120"/>
              <w:bottom w:type="dxa" w:w="90"/>
              <w:right w:type="dxa" w:w="120"/>
            </w:tcMar>
          </w:tcPr>
          <w:p>
            <w:pPr>
              <w:spacing w:line="260"/>
            </w:pPr>
            <w:r>
              <w:rPr>
                <w:color w:val="1A1A1A"/>
                <w:sz w:val="19"/>
                <w:szCs w:val="19"/>
              </w:rPr>
              <w:t xml:space="preserve">Mobile console</w:t>
            </w:r>
          </w:p>
        </w:tc>
        <w:tc>
          <w:tcPr>
            <w:tcW w:type="dxa" w:w="3400"/>
            <w:shd w:fill="F4F7F9" w:val="clear"/>
            <w:tcMar>
              <w:top w:type="dxa" w:w="90"/>
              <w:left w:type="dxa" w:w="120"/>
              <w:bottom w:type="dxa" w:w="90"/>
              <w:right w:type="dxa" w:w="120"/>
            </w:tcMar>
          </w:tcPr>
          <w:p>
            <w:pPr>
              <w:spacing w:line="260"/>
            </w:pPr>
            <w:r>
              <w:rPr>
                <w:color w:val="1A1A1A"/>
                <w:sz w:val="19"/>
                <w:szCs w:val="19"/>
              </w:rPr>
              <w:t xml:space="preserve">Single-file HTML/CSS/vanilla JS</w:t>
            </w:r>
          </w:p>
        </w:tc>
        <w:tc>
          <w:tcPr>
            <w:tcW w:type="dxa" w:w="3350"/>
            <w:shd w:fill="F4F7F9" w:val="clear"/>
            <w:tcMar>
              <w:top w:type="dxa" w:w="90"/>
              <w:left w:type="dxa" w:w="120"/>
              <w:bottom w:type="dxa" w:w="90"/>
              <w:right w:type="dxa" w:w="120"/>
            </w:tcMar>
          </w:tcPr>
          <w:p>
            <w:pPr>
              <w:spacing w:line="260"/>
            </w:pPr>
            <w:r>
              <w:rPr>
                <w:color w:val="1A1A1A"/>
                <w:sz w:val="19"/>
                <w:szCs w:val="19"/>
              </w:rPr>
              <w:t xml:space="preserve">No build step; Ask, Compliance Check, and Documentation Gaps tabs</w:t>
            </w:r>
          </w:p>
        </w:tc>
      </w:tr>
      <w:tr>
        <w:tc>
          <w:tcPr>
            <w:tcW w:type="dxa" w:w="2600"/>
            <w:shd w:fill="FFFFFF" w:val="clear"/>
            <w:tcMar>
              <w:top w:type="dxa" w:w="90"/>
              <w:left w:type="dxa" w:w="120"/>
              <w:bottom w:type="dxa" w:w="90"/>
              <w:right w:type="dxa" w:w="120"/>
            </w:tcMar>
          </w:tcPr>
          <w:p>
            <w:pPr>
              <w:spacing w:line="260"/>
            </w:pPr>
            <w:r>
              <w:rPr>
                <w:color w:val="1A1A1A"/>
                <w:sz w:val="19"/>
                <w:szCs w:val="19"/>
              </w:rPr>
              <w:t xml:space="preserve">Documentation Gap tracker</w:t>
            </w:r>
          </w:p>
        </w:tc>
        <w:tc>
          <w:tcPr>
            <w:tcW w:type="dxa" w:w="3400"/>
            <w:shd w:fill="FFFFFF" w:val="clear"/>
            <w:tcMar>
              <w:top w:type="dxa" w:w="90"/>
              <w:left w:type="dxa" w:w="120"/>
              <w:bottom w:type="dxa" w:w="90"/>
              <w:right w:type="dxa" w:w="120"/>
            </w:tcMar>
          </w:tcPr>
          <w:p>
            <w:pPr>
              <w:spacing w:line="260"/>
            </w:pPr>
            <w:r>
              <w:rPr>
                <w:color w:val="1A1A1A"/>
                <w:sz w:val="19"/>
                <w:szCs w:val="19"/>
              </w:rPr>
              <w:t xml:space="preserve">JSON-file backed, served via /gaps</w:t>
            </w:r>
          </w:p>
        </w:tc>
        <w:tc>
          <w:tcPr>
            <w:tcW w:type="dxa" w:w="3350"/>
            <w:shd w:fill="FFFFFF" w:val="clear"/>
            <w:tcMar>
              <w:top w:type="dxa" w:w="90"/>
              <w:left w:type="dxa" w:w="120"/>
              <w:bottom w:type="dxa" w:w="90"/>
              <w:right w:type="dxa" w:w="120"/>
            </w:tcMar>
          </w:tcPr>
          <w:p>
            <w:pPr>
              <w:spacing w:line="260"/>
            </w:pPr>
            <w:r>
              <w:rPr>
                <w:color w:val="1A1A1A"/>
                <w:sz w:val="19"/>
                <w:szCs w:val="19"/>
              </w:rPr>
              <w:t xml:space="preserve">Logs every Copilot answer with confidence below 0.5</w:t>
            </w:r>
          </w:p>
        </w:tc>
      </w:tr>
    </w:tbl>
    <w:p>
      <w:pPr>
        <w:spacing w:after="120"/>
      </w:pPr>
    </w:p>
    <w:p>
      <w:pPr>
        <w:pStyle w:val="Heading1"/>
        <w:spacing w:after="160" w:before="360"/>
      </w:pPr>
      <w:r>
        <w:t xml:space="preserve">5. Why Two AI Backends — Gemini + Ollama</w:t>
      </w:r>
    </w:p>
    <w:p>
      <w:pPr>
        <w:spacing w:after="160" w:line="300"/>
      </w:pPr>
      <w:r>
        <w:rPr>
          <w:color w:val="1A1A1A"/>
          <w:sz w:val="22"/>
          <w:szCs w:val="22"/>
        </w:rPr>
        <w:t xml:space="preserve">Gemini is not fully replaced by the local model. Two different backends are deliberately doing two different jobs, and it's worth being upfront about the split rather than implying the whole system is offline.</w:t>
      </w:r>
    </w:p>
    <w:p>
      <w:pPr>
        <w:pStyle w:val="Heading2"/>
        <w:spacing w:after="120" w:before="280"/>
      </w:pPr>
      <w:r>
        <w:t xml:space="preserve">5.1 Where Gemini is still used</w:t>
      </w:r>
    </w:p>
    <w:p>
      <w:pPr>
        <w:pStyle w:val="ListParagraph"/>
        <w:numPr>
          <w:ilvl w:val="0"/>
          <w:numId w:val="1"/>
        </w:numPr>
        <w:spacing w:after="80" w:line="280"/>
      </w:pPr>
      <w:r>
        <w:rPr>
          <w:b/>
          <w:bCs/>
          <w:color w:val="0A1628"/>
          <w:sz w:val="22"/>
          <w:szCs w:val="22"/>
        </w:rPr>
        <w:t xml:space="preserve">Document ingestion (Day 2): </w:t>
      </w:r>
      <w:r>
        <w:rPr>
          <w:color w:val="1A1A1A"/>
          <w:sz w:val="22"/>
          <w:szCs w:val="22"/>
        </w:rPr>
        <w:t xml:space="preserve">Gemini 2.5 Flash-Lite extracts entities and relationships from the 12 source documents into the knowledge graph. This step is complete and tested — re-running it against a different model under a 2-day build window would have meant re-verifying every extraction, for no visible demo benefit.</w:t>
      </w:r>
    </w:p>
    <w:p>
      <w:pPr>
        <w:pStyle w:val="ListParagraph"/>
        <w:numPr>
          <w:ilvl w:val="0"/>
          <w:numId w:val="1"/>
        </w:numPr>
        <w:spacing w:after="80" w:line="280"/>
      </w:pPr>
      <w:r>
        <w:rPr>
          <w:b/>
          <w:bCs/>
          <w:color w:val="0A1628"/>
          <w:sz w:val="22"/>
          <w:szCs w:val="22"/>
        </w:rPr>
        <w:t xml:space="preserve">Expert Copilot /ask (Day 3): </w:t>
      </w:r>
      <w:r>
        <w:rPr>
          <w:color w:val="1A1A1A"/>
          <w:sz w:val="22"/>
          <w:szCs w:val="22"/>
        </w:rPr>
        <w:t xml:space="preserve">Gemini 2.5 Flash-Lite (generation) and Gemini embedding-001 (retrieval embeddings) power the general-purpose knowledge Q&amp;A — the RAG pipeline that answers "how should I maintain PMP-204" or "why does this keep failing." This was built, tested, and working before the decision to introduce a local model was made.</w:t>
      </w:r>
    </w:p>
    <w:p>
      <w:pPr>
        <w:pStyle w:val="Heading2"/>
        <w:spacing w:after="120" w:before="280"/>
      </w:pPr>
      <w:r>
        <w:t xml:space="preserve">5.2 Where Ollama (local) is used</w:t>
      </w:r>
    </w:p>
    <w:p>
      <w:pPr>
        <w:pStyle w:val="ListParagraph"/>
        <w:numPr>
          <w:ilvl w:val="0"/>
          <w:numId w:val="1"/>
        </w:numPr>
        <w:spacing w:after="80" w:line="280"/>
      </w:pPr>
      <w:r>
        <w:rPr>
          <w:b/>
          <w:bCs/>
          <w:color w:val="0A1628"/>
          <w:sz w:val="22"/>
          <w:szCs w:val="22"/>
        </w:rPr>
        <w:t xml:space="preserve">Compliance Agent, exclusively: </w:t>
      </w:r>
      <w:r>
        <w:rPr>
          <w:color w:val="1A1A1A"/>
          <w:sz w:val="22"/>
          <w:szCs w:val="22"/>
        </w:rPr>
        <w:t xml:space="preserve">the safety-critical PASS/FLAG/UNKNOWN check runs entirely on qwen3-vl:4b via Ollama, on-device, with zero API calls, zero API key, and zero cloud dependency.</w:t>
      </w:r>
    </w:p>
    <w:p>
      <w:pPr>
        <w:pStyle w:val="Heading2"/>
        <w:spacing w:after="120" w:before="280"/>
      </w:pPr>
      <w:r>
        <w:t xml:space="preserve">5.3 Why split this way, not migrate everything</w:t>
      </w:r>
    </w:p>
    <w:p>
      <w:pPr>
        <w:pStyle w:val="ListParagraph"/>
        <w:numPr>
          <w:ilvl w:val="0"/>
          <w:numId w:val="1"/>
        </w:numPr>
        <w:spacing w:after="80" w:line="280"/>
      </w:pPr>
      <w:r>
        <w:rPr>
          <w:b/>
          <w:bCs/>
          <w:color w:val="0A1628"/>
          <w:sz w:val="22"/>
          <w:szCs w:val="22"/>
        </w:rPr>
        <w:t xml:space="preserve">Product-architecture fit: </w:t>
      </w:r>
      <w:r>
        <w:rPr>
          <w:color w:val="1A1A1A"/>
          <w:sz w:val="22"/>
          <w:szCs w:val="22"/>
        </w:rPr>
        <w:t xml:space="preserve">the real Lumos AI Glasses product already targets a local inference server (an RTX 4050 laptop) as its offline backend. Building the Compliance Agent on Ollama now makes the hackathon prototype and the long-term product story consistent, rather than inventing a cloud dependency the real product won't have.</w:t>
      </w:r>
    </w:p>
    <w:p>
      <w:pPr>
        <w:pStyle w:val="ListParagraph"/>
        <w:numPr>
          <w:ilvl w:val="0"/>
          <w:numId w:val="1"/>
        </w:numPr>
        <w:spacing w:after="80" w:line="280"/>
      </w:pPr>
      <w:r>
        <w:rPr>
          <w:b/>
          <w:bCs/>
          <w:color w:val="0A1628"/>
          <w:sz w:val="22"/>
          <w:szCs w:val="22"/>
        </w:rPr>
        <w:t xml:space="preserve">Safety-critical reasoning benefits most from being offline: </w:t>
      </w:r>
      <w:r>
        <w:rPr>
          <w:color w:val="1A1A1A"/>
          <w:sz w:val="22"/>
          <w:szCs w:val="22"/>
        </w:rPr>
        <w:t xml:space="preserve">a compliance check is exactly the kind of operation a plant would want to keep functioning even if internet connectivity drops on the shop floor — unlike a general knowledge question, which can tolerate brief unavailability.</w:t>
      </w:r>
    </w:p>
    <w:p>
      <w:pPr>
        <w:pStyle w:val="ListParagraph"/>
        <w:numPr>
          <w:ilvl w:val="0"/>
          <w:numId w:val="1"/>
        </w:numPr>
        <w:spacing w:after="80" w:line="280"/>
      </w:pPr>
      <w:r>
        <w:rPr>
          <w:b/>
          <w:bCs/>
          <w:color w:val="0A1628"/>
          <w:sz w:val="22"/>
          <w:szCs w:val="22"/>
        </w:rPr>
        <w:t xml:space="preserve">Risk management under a 2-day build window: </w:t>
      </w:r>
      <w:r>
        <w:rPr>
          <w:color w:val="1A1A1A"/>
          <w:sz w:val="22"/>
          <w:szCs w:val="22"/>
        </w:rPr>
        <w:t xml:space="preserve">the Gemini-based Copilot was already built and passing tests. Re-platforming working, tested code to chase a "fully local" narrative would have introduced new failure modes (and did, during the Compliance Agent build itself — see Section 7.3) for no benefit visible in the demo.</w:t>
      </w:r>
    </w:p>
    <w:tbl>
      <w:tblPr>
        <w:tblW w:type="pct" w:w="100%"/>
        <w:tblBorders>
          <w:top w:val="single" w:color="B7791F" w:sz="4"/>
          <w:left w:val="single" w:color="B7791F" w:sz="24"/>
          <w:bottom w:val="single" w:color="B7791F" w:sz="4"/>
          <w:right w:val="single" w:color="B7791F" w:sz="4"/>
          <w:insideH w:val="single" w:color="auto" w:sz="4"/>
          <w:insideV w:val="single" w:color="auto" w:sz="4"/>
        </w:tblBorders>
      </w:tblPr>
      <w:tblGrid>
        <w:gridCol w:w="100"/>
      </w:tblGrid>
      <w:tr>
        <w:tc>
          <w:tcPr>
            <w:shd w:fill="F4F7F9" w:val="clear"/>
            <w:tcMar>
              <w:top w:type="dxa" w:w="160"/>
              <w:left w:type="dxa" w:w="220"/>
              <w:bottom w:type="dxa" w:w="160"/>
              <w:right w:type="dxa" w:w="220"/>
            </w:tcMar>
          </w:tcPr>
          <w:p>
            <w:pPr>
              <w:spacing w:after="60"/>
            </w:pPr>
            <w:r>
              <w:rPr>
                <w:b/>
                <w:bCs/>
                <w:caps/>
                <w:color w:val="B7791F"/>
                <w:sz w:val="20"/>
                <w:szCs w:val="20"/>
              </w:rPr>
              <w:t xml:space="preserve">Honest framing for judges</w:t>
            </w:r>
          </w:p>
          <w:p>
            <w:pPr>
              <w:spacing w:line="280"/>
            </w:pPr>
            <w:r>
              <w:rPr>
                <w:color w:val="1A1A1A"/>
                <w:sz w:val="21"/>
                <w:szCs w:val="21"/>
              </w:rPr>
              <w:t xml:space="preserve">If asked "is this fully offline," the accurate answer is: the safety-critical Compliance Agent is fully local today; the general Expert Copilot currently uses Gemini's free tier and is architected to move to the same local model with no change to its interface — a natural next milestone, not a redesign.</w:t>
            </w:r>
          </w:p>
        </w:tc>
      </w:tr>
    </w:tbl>
    <w:p>
      <w:pPr>
        <w:spacing w:after="120"/>
      </w:pPr>
    </w:p>
    <w:p>
      <w:pPr>
        <w:pStyle w:val="Heading1"/>
        <w:spacing w:after="160" w:before="360"/>
      </w:pPr>
      <w:r>
        <w:t xml:space="preserve">6. The Backend, In Detail</w:t>
      </w:r>
    </w:p>
    <w:p>
      <w:pPr>
        <w:spacing w:after="160" w:line="300"/>
      </w:pPr>
      <w:r>
        <w:rPr>
          <w:color w:val="1A1A1A"/>
          <w:sz w:val="22"/>
          <w:szCs w:val="22"/>
        </w:rPr>
        <w:t xml:space="preserve">The backend is everything that isn't a physical device or a browser tab. It is organised as four pipelines behind one FastAPI app.</w:t>
      </w:r>
    </w:p>
    <w:p>
      <w:pPr>
        <w:pStyle w:val="Heading2"/>
        <w:spacing w:after="120" w:before="280"/>
      </w:pPr>
      <w:r>
        <w:t xml:space="preserve">6.1 Ingestion pipeline (extract.py, load_graph.py, load_vectors.py)</w:t>
      </w:r>
    </w:p>
    <w:p>
      <w:pPr>
        <w:spacing w:after="160" w:line="300"/>
      </w:pPr>
      <w:r>
        <w:rPr>
          <w:color w:val="1A1A1A"/>
          <w:sz w:val="22"/>
          <w:szCs w:val="22"/>
        </w:rPr>
        <w:t xml:space="preserve">Reads each of the 12 source documents, prompts Gemini with a fixed schema (11 node types, 24 relationship types) to extract structured entities and relationships as JSON, writes the result into Neo4j as real graph nodes and edges, and separately chunks and embeds every document into Qdrant with metadata (equipment ID, document type, status, source filename) for filtered semantic search. Built with resumable progress tracking and self-healing retry logic — a failed extraction on one document doesn't require re-running the whole batch.</w:t>
      </w:r>
    </w:p>
    <w:p>
      <w:pPr>
        <w:pStyle w:val="Heading2"/>
        <w:spacing w:after="120" w:before="280"/>
      </w:pPr>
      <w:r>
        <w:t xml:space="preserve">6.2 Expert Copilot / RAG pipeline (retrieve.py, synthesize.py)</w:t>
      </w:r>
    </w:p>
    <w:p>
      <w:pPr>
        <w:spacing w:after="160" w:line="300"/>
      </w:pPr>
      <w:r>
        <w:rPr>
          <w:color w:val="1A1A1A"/>
          <w:sz w:val="22"/>
          <w:szCs w:val="22"/>
        </w:rPr>
        <w:t xml:space="preserve">A hybrid retrieval strategy: vector search against Qdrant finds which equipment or topic a question is about, then that equipment ID anchors a targeted Cypher traversal in Neo4j pulling the structured facts a flat vector search cannot connect — current vs. superseded SOP, linked incident patterns, regulatory citations, and undocumented tacit knowledge. Both contexts are merged and sent to Gemini with strict citation rules: every claim must cite a source document, and the model must say so explicitly rather than guess when it isn't confident.</w:t>
      </w:r>
    </w:p>
    <w:p>
      <w:pPr>
        <w:pStyle w:val="Heading2"/>
        <w:spacing w:after="120" w:before="280"/>
      </w:pPr>
      <w:r>
        <w:t xml:space="preserve">6.3 Compliance Agent (compliance_agent.py, ollama_client.py)</w:t>
      </w:r>
    </w:p>
    <w:p>
      <w:pPr>
        <w:spacing w:after="160" w:line="300"/>
      </w:pPr>
      <w:r>
        <w:rPr>
          <w:color w:val="1A1A1A"/>
          <w:sz w:val="22"/>
          <w:szCs w:val="22"/>
        </w:rPr>
        <w:t xml:space="preserve">Given an equipment ID and an observed-state description, the agent goes directly from equipment to its governing SOPs via graph traversal — deliberately built to always include every current SOP as a supplement, not only ones linked by extraction-fragile relationship types, so a real safety requirement can never silently go missing from the context. The actual procedural text (attached to graph nodes as a one-time enrichment step, not fetched via embeddings) is reasoned over locally by qwen3-vl:4b via Ollama, returning a structured verdict — PASS, FLAG, or UNKNOWN — with a named violated requirement, a citation, and a confidence score.</w:t>
      </w:r>
    </w:p>
    <w:p>
      <w:pPr>
        <w:pStyle w:val="Heading2"/>
        <w:spacing w:after="120" w:before="280"/>
      </w:pPr>
      <w:r>
        <w:t xml:space="preserve">6.4 Documentation Gap tracker (gap_tracker.py)</w:t>
      </w:r>
    </w:p>
    <w:p>
      <w:pPr>
        <w:spacing w:after="160" w:line="300"/>
      </w:pPr>
      <w:r>
        <w:rPr>
          <w:color w:val="1A1A1A"/>
          <w:sz w:val="22"/>
          <w:szCs w:val="22"/>
        </w:rPr>
        <w:t xml:space="preserve">Every Expert Copilot answer with confidence below 0.5 is automatically logged with its question, its confidence score, and a timestamp. This turns the RAG system's own uncertainty into a prioritized "what to document next" list for plant staff — a direct, low-cost demonstration of the "knowledge cliff" framing from PS #8's own problem statement, and a feature very few competing teams are likely to have built.</w:t>
      </w:r>
    </w:p>
    <w:p>
      <w:pPr>
        <w:pStyle w:val="Heading2"/>
        <w:spacing w:after="120" w:before="280"/>
      </w:pPr>
      <w:r>
        <w:t xml:space="preserve">6.5 API layer (api.py)</w:t>
      </w:r>
    </w:p>
    <w:p>
      <w:pPr>
        <w:spacing w:after="160" w:line="300"/>
      </w:pPr>
      <w:r>
        <w:rPr>
          <w:color w:val="1A1A1A"/>
          <w:sz w:val="22"/>
          <w:szCs w:val="22"/>
        </w:rPr>
        <w:t xml:space="preserve">One FastAPI application, four endpoints: POST /ask, POST /check-compliance, GET /gaps, GET /health. Both /ask and /check-compliance are called with an identical request shape whether the request originated from the glasses (QR-triggered, automatic) or the mobile console (manually typed) — the manual-input fallback is the API's own design, not a separate code path to maintain.</w:t>
      </w:r>
    </w:p>
    <w:p>
      <w:pPr>
        <w:spacing w:after="120"/>
      </w:pPr>
    </w:p>
    <w:p>
      <w:pPr>
        <w:pStyle w:val="Heading1"/>
        <w:spacing w:after="160" w:before="360"/>
      </w:pPr>
      <w:r>
        <w:t xml:space="preserve">7. Why We Are Using the Glasses</w:t>
      </w:r>
    </w:p>
    <w:p>
      <w:pPr>
        <w:pStyle w:val="Heading2"/>
        <w:spacing w:after="120" w:before="280"/>
      </w:pPr>
      <w:r>
        <w:t xml:space="preserve">7.1 Role: delivery interface, not the intelligence</w:t>
      </w:r>
    </w:p>
    <w:p>
      <w:pPr>
        <w:spacing w:after="160" w:line="300"/>
      </w:pPr>
      <w:r>
        <w:rPr>
          <w:color w:val="1A1A1A"/>
          <w:sz w:val="22"/>
          <w:szCs w:val="22"/>
        </w:rPr>
        <w:t xml:space="preserve">The Lumos AI Glasses are the hands-free field delivery channel for the platform's intelligence — not where any reasoning happens. A Raspberry Pi Zero W has no GPU or NPU; it cannot run computer vision, an LLM, or a knowledge graph locally. Its job is strictly: capture what the technician is looking at, send it to the backend, and render whatever comes back. The brain is the laptop; the glasses are eyes and a screen.</w:t>
      </w:r>
    </w:p>
    <w:p>
      <w:pPr>
        <w:pStyle w:val="Heading2"/>
        <w:spacing w:after="120" w:before="280"/>
      </w:pPr>
      <w:r>
        <w:t xml:space="preserve">7.2 Why glasses instead of just a phone</w:t>
      </w:r>
    </w:p>
    <w:p>
      <w:pPr>
        <w:spacing w:after="160" w:line="300"/>
      </w:pPr>
      <w:r>
        <w:rPr>
          <w:color w:val="1A1A1A"/>
          <w:sz w:val="22"/>
          <w:szCs w:val="22"/>
        </w:rPr>
        <w:t xml:space="preserve">The honest case for glasses is narrow and specific, and worth stating plainly rather than overselling: the moments where hands-free genuinely matters are moments where both hands are occupied — holding a part, operating machinery, climbing — and glancing down at a phone isn't practical. For a plant technician mid-repair, that's a real, recurring situation. For a walk-up-and-look scenario, a phone would work just as well; the platform's dashboard and mobile console prove the underlying intelligence isn't glasses-dependent.</w:t>
      </w:r>
    </w:p>
    <w:p>
      <w:pPr>
        <w:pStyle w:val="Heading2"/>
        <w:spacing w:after="120" w:before="280"/>
      </w:pPr>
      <w:r>
        <w:t xml:space="preserve">7.3 How it actually works in this build</w:t>
      </w:r>
    </w:p>
    <w:p>
      <w:pPr>
        <w:spacing w:after="160" w:line="300"/>
      </w:pPr>
      <w:r>
        <w:rPr>
          <w:color w:val="1A1A1A"/>
          <w:sz w:val="22"/>
          <w:szCs w:val="22"/>
        </w:rPr>
        <w:t xml:space="preserve">Camera reads a QR marker → the code decodes it into either a question (routed to /ask) or an equipment ID plus an observed-state description (routed to /check-compliance) → the backend's real reasoning pipeline runs → a short response renders on the transparent OLED, typically within a couple of seconds.</w:t>
      </w:r>
    </w:p>
    <w:tbl>
      <w:tblPr>
        <w:tblW w:type="pct" w:w="100%"/>
        <w:tblBorders>
          <w:top w:val="single" w:color="B7791F" w:sz="4"/>
          <w:left w:val="single" w:color="B7791F" w:sz="24"/>
          <w:bottom w:val="single" w:color="B7791F" w:sz="4"/>
          <w:right w:val="single" w:color="B7791F" w:sz="4"/>
          <w:insideH w:val="single" w:color="auto" w:sz="4"/>
          <w:insideV w:val="single" w:color="auto" w:sz="4"/>
        </w:tblBorders>
      </w:tblPr>
      <w:tblGrid>
        <w:gridCol w:w="100"/>
      </w:tblGrid>
      <w:tr>
        <w:tc>
          <w:tcPr>
            <w:shd w:fill="F4F7F9" w:val="clear"/>
            <w:tcMar>
              <w:top w:type="dxa" w:w="160"/>
              <w:left w:type="dxa" w:w="220"/>
              <w:bottom w:type="dxa" w:w="160"/>
              <w:right w:type="dxa" w:w="220"/>
            </w:tcMar>
          </w:tcPr>
          <w:p>
            <w:pPr>
              <w:spacing w:after="60"/>
            </w:pPr>
            <w:r>
              <w:rPr>
                <w:b/>
                <w:bCs/>
                <w:caps/>
                <w:color w:val="B7791F"/>
                <w:sz w:val="20"/>
                <w:szCs w:val="20"/>
              </w:rPr>
              <w:t xml:space="preserve">Honest scope note</w:t>
            </w:r>
          </w:p>
          <w:p>
            <w:pPr>
              <w:spacing w:line="280"/>
            </w:pPr>
            <w:r>
              <w:rPr>
                <w:color w:val="1A1A1A"/>
                <w:sz w:val="21"/>
                <w:szCs w:val="21"/>
              </w:rPr>
              <w:t xml:space="preserve">The QR marker encodes the demo scenario — what the camera is "seeing" — rather than a live computer-vision model detecting PPE or equipment state automatically. Building and training that CV model was out of scope for a 2-day build. This is a clearly-labelled MVP shortcut: only the perception step is simulated. Every part of the actual reasoning — the graph traversal, the retrieval, the Ollama compliance check — is completely real, running against the real knowledge graph.</w:t>
            </w:r>
          </w:p>
        </w:tc>
      </w:tr>
    </w:tbl>
    <w:p>
      <w:pPr>
        <w:spacing w:after="120"/>
      </w:pPr>
    </w:p>
    <w:p>
      <w:pPr>
        <w:pStyle w:val="Heading1"/>
        <w:spacing w:after="160" w:before="360"/>
      </w:pPr>
      <w:r>
        <w:t xml:space="preserve">8. Why We Are Using the Mobile UI</w:t>
      </w:r>
    </w:p>
    <w:p>
      <w:pPr>
        <w:spacing w:after="160" w:line="300"/>
      </w:pPr>
      <w:r>
        <w:rPr>
          <w:color w:val="1A1A1A"/>
          <w:sz w:val="22"/>
          <w:szCs w:val="22"/>
        </w:rPr>
        <w:t xml:space="preserve">Not a conversational chatbot — a structured three-tab console (Ask, Compliance Check, Documentation Gaps), calling the exact same two backend endpoints the glasses call. It exists for three concrete reasons:</w:t>
      </w:r>
    </w:p>
    <w:p>
      <w:pPr>
        <w:pStyle w:val="ListParagraph"/>
        <w:numPr>
          <w:ilvl w:val="0"/>
          <w:numId w:val="1"/>
        </w:numPr>
        <w:spacing w:after="80" w:line="280"/>
      </w:pPr>
      <w:r>
        <w:rPr>
          <w:b/>
          <w:bCs/>
          <w:color w:val="0A1628"/>
          <w:sz w:val="22"/>
          <w:szCs w:val="22"/>
        </w:rPr>
        <w:t xml:space="preserve">It is the manual-input fallback: </w:t>
      </w:r>
      <w:r>
        <w:rPr>
          <w:color w:val="1A1A1A"/>
          <w:sz w:val="22"/>
          <w:szCs w:val="22"/>
        </w:rPr>
        <w:t xml:space="preserve">if the glasses' camera or QR scan fails during a live demo or in the field, the same equipment ID and observed-state description can be typed by hand into the same backend — no separate code path, no degraded experience, just a different input method reaching identical reasoning.</w:t>
      </w:r>
    </w:p>
    <w:p>
      <w:pPr>
        <w:pStyle w:val="ListParagraph"/>
        <w:numPr>
          <w:ilvl w:val="0"/>
          <w:numId w:val="1"/>
        </w:numPr>
        <w:spacing w:after="80" w:line="280"/>
      </w:pPr>
      <w:r>
        <w:rPr>
          <w:b/>
          <w:bCs/>
          <w:color w:val="0A1628"/>
          <w:sz w:val="22"/>
          <w:szCs w:val="22"/>
        </w:rPr>
        <w:t xml:space="preserve">PS #8 asks for it explicitly: </w:t>
      </w:r>
      <w:r>
        <w:rPr>
          <w:color w:val="1A1A1A"/>
          <w:sz w:val="22"/>
          <w:szCs w:val="22"/>
        </w:rPr>
        <w:t xml:space="preserve">the official problem statement's own "Expert Knowledge Copilot" bullet specifies the copilot should be "built to work on mobile for field technicians, not just desktops for engineers." This satisfies that requirement literally, not just in spirit.</w:t>
      </w:r>
    </w:p>
    <w:p>
      <w:pPr>
        <w:pStyle w:val="ListParagraph"/>
        <w:numPr>
          <w:ilvl w:val="0"/>
          <w:numId w:val="1"/>
        </w:numPr>
        <w:spacing w:after="80" w:line="280"/>
      </w:pPr>
      <w:r>
        <w:rPr>
          <w:b/>
          <w:bCs/>
          <w:color w:val="0A1628"/>
          <w:sz w:val="22"/>
          <w:szCs w:val="22"/>
        </w:rPr>
        <w:t xml:space="preserve">It proves the platform, not just the hardware: </w:t>
      </w:r>
      <w:r>
        <w:rPr>
          <w:color w:val="1A1A1A"/>
          <w:sz w:val="22"/>
          <w:szCs w:val="22"/>
        </w:rPr>
        <w:t xml:space="preserve">showing the identical answer with full citations on a plain browser — separately from the glasses — demonstrates that the knowledge intelligence is the product, and the glasses are one interface choice among several, exactly the framing PS #8 rewards.</w:t>
      </w:r>
    </w:p>
    <w:p>
      <w:pPr>
        <w:spacing w:after="120"/>
      </w:pPr>
    </w:p>
    <w:p>
      <w:pPr>
        <w:pStyle w:val="Heading1"/>
        <w:spacing w:after="160" w:before="360"/>
      </w:pPr>
      <w:r>
        <w:t xml:space="preserve">9. Project Structure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your-project/</w:t>
            </w:r>
          </w:p>
          <w:p>
            <w:pPr>
              <w:spacing w:after="20"/>
            </w:pPr>
            <w:r>
              <w:rPr>
                <w:rFonts w:ascii="Consolas" w:cs="Consolas" w:eastAsia="Consolas" w:hAnsi="Consolas"/>
                <w:color w:val="D4D4D4"/>
                <w:sz w:val="19"/>
                <w:szCs w:val="19"/>
              </w:rPr>
              <w:t xml:space="preserve">├── plant-docs/                  12 source documents</w:t>
            </w:r>
          </w:p>
          <w:p>
            <w:pPr>
              <w:spacing w:after="20"/>
            </w:pPr>
            <w:r>
              <w:rPr>
                <w:rFonts w:ascii="Consolas" w:cs="Consolas" w:eastAsia="Consolas" w:hAnsi="Consolas"/>
                <w:color w:val="D4D4D4"/>
                <w:sz w:val="19"/>
                <w:szCs w:val="19"/>
              </w:rPr>
              <w:t xml:space="preserve">│   ├── 01_equipment_master_list.md</w:t>
            </w:r>
          </w:p>
          <w:p>
            <w:pPr>
              <w:spacing w:after="20"/>
            </w:pPr>
            <w:r>
              <w:rPr>
                <w:rFonts w:ascii="Consolas" w:cs="Consolas" w:eastAsia="Consolas" w:hAnsi="Consolas"/>
                <w:color w:val="D4D4D4"/>
                <w:sz w:val="19"/>
                <w:szCs w:val="19"/>
              </w:rPr>
              <w:t xml:space="preserve">│   ├── 02-03_sop_pump_maintenance_v1_v2.md   (superseded + current)</w:t>
            </w:r>
          </w:p>
          <w:p>
            <w:pPr>
              <w:spacing w:after="20"/>
            </w:pPr>
            <w:r>
              <w:rPr>
                <w:rFonts w:ascii="Consolas" w:cs="Consolas" w:eastAsia="Consolas" w:hAnsi="Consolas"/>
                <w:color w:val="D4D4D4"/>
                <w:sz w:val="19"/>
                <w:szCs w:val="19"/>
              </w:rPr>
              <w:t xml:space="preserve">│   ├── 04_sop_ppe_zone_b.md</w:t>
            </w:r>
          </w:p>
          <w:p>
            <w:pPr>
              <w:spacing w:after="20"/>
            </w:pPr>
            <w:r>
              <w:rPr>
                <w:rFonts w:ascii="Consolas" w:cs="Consolas" w:eastAsia="Consolas" w:hAnsi="Consolas"/>
                <w:color w:val="D4D4D4"/>
                <w:sz w:val="19"/>
                <w:szCs w:val="19"/>
              </w:rPr>
              <w:t xml:space="preserve">│   ├── 05_sop_loto.md</w:t>
            </w:r>
          </w:p>
          <w:p>
            <w:pPr>
              <w:spacing w:after="20"/>
            </w:pPr>
            <w:r>
              <w:rPr>
                <w:rFonts w:ascii="Consolas" w:cs="Consolas" w:eastAsia="Consolas" w:hAnsi="Consolas"/>
                <w:color w:val="D4D4D4"/>
                <w:sz w:val="19"/>
                <w:szCs w:val="19"/>
              </w:rPr>
              <w:t xml:space="preserve">│   ├── 06_regulatory_excerpt.md</w:t>
            </w:r>
          </w:p>
          <w:p>
            <w:pPr>
              <w:spacing w:after="20"/>
            </w:pPr>
            <w:r>
              <w:rPr>
                <w:rFonts w:ascii="Consolas" w:cs="Consolas" w:eastAsia="Consolas" w:hAnsi="Consolas"/>
                <w:color w:val="D4D4D4"/>
                <w:sz w:val="19"/>
                <w:szCs w:val="19"/>
              </w:rPr>
              <w:t xml:space="preserve">│   ├── 07-11_incident_reports.md              (5 reports)</w:t>
            </w:r>
          </w:p>
          <w:p>
            <w:pPr>
              <w:spacing w:after="20"/>
            </w:pPr>
            <w:r>
              <w:rPr>
                <w:rFonts w:ascii="Consolas" w:cs="Consolas" w:eastAsia="Consolas" w:hAnsi="Consolas"/>
                <w:color w:val="D4D4D4"/>
                <w:sz w:val="19"/>
                <w:szCs w:val="19"/>
              </w:rPr>
              <w:t xml:space="preserve">│   └── 12_tacit_knowledge_engineer_notes.md</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ingestion/                   Day 2 — extraction &amp; graph/vector load</w:t>
            </w:r>
          </w:p>
          <w:p>
            <w:pPr>
              <w:spacing w:after="20"/>
            </w:pPr>
            <w:r>
              <w:rPr>
                <w:rFonts w:ascii="Consolas" w:cs="Consolas" w:eastAsia="Consolas" w:hAnsi="Consolas"/>
                <w:color w:val="D4D4D4"/>
                <w:sz w:val="19"/>
                <w:szCs w:val="19"/>
              </w:rPr>
              <w:t xml:space="preserve">│   ├── schema.py                 node/relationship type definitions</w:t>
            </w:r>
          </w:p>
          <w:p>
            <w:pPr>
              <w:spacing w:after="20"/>
            </w:pPr>
            <w:r>
              <w:rPr>
                <w:rFonts w:ascii="Consolas" w:cs="Consolas" w:eastAsia="Consolas" w:hAnsi="Consolas"/>
                <w:color w:val="D4D4D4"/>
                <w:sz w:val="19"/>
                <w:szCs w:val="19"/>
              </w:rPr>
              <w:t xml:space="preserve">│   ├── extract.py                Gemini-based entity extraction</w:t>
            </w:r>
          </w:p>
          <w:p>
            <w:pPr>
              <w:spacing w:after="20"/>
            </w:pPr>
            <w:r>
              <w:rPr>
                <w:rFonts w:ascii="Consolas" w:cs="Consolas" w:eastAsia="Consolas" w:hAnsi="Consolas"/>
                <w:color w:val="D4D4D4"/>
                <w:sz w:val="19"/>
                <w:szCs w:val="19"/>
              </w:rPr>
              <w:t xml:space="preserve">│   ├── load_graph.py             writes to Neo4j</w:t>
            </w:r>
          </w:p>
          <w:p>
            <w:pPr>
              <w:spacing w:after="20"/>
            </w:pPr>
            <w:r>
              <w:rPr>
                <w:rFonts w:ascii="Consolas" w:cs="Consolas" w:eastAsia="Consolas" w:hAnsi="Consolas"/>
                <w:color w:val="D4D4D4"/>
                <w:sz w:val="19"/>
                <w:szCs w:val="19"/>
              </w:rPr>
              <w:t xml:space="preserve">│   └── load_vectors.py           writes to Qdrant</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rag/                         Day 3 — Expert Copilot (Gemini)</w:t>
            </w:r>
          </w:p>
          <w:p>
            <w:pPr>
              <w:spacing w:after="20"/>
            </w:pPr>
            <w:r>
              <w:rPr>
                <w:rFonts w:ascii="Consolas" w:cs="Consolas" w:eastAsia="Consolas" w:hAnsi="Consolas"/>
                <w:color w:val="D4D4D4"/>
                <w:sz w:val="19"/>
                <w:szCs w:val="19"/>
              </w:rPr>
              <w:t xml:space="preserve">│   ├── retrieve.py               hybrid graph + vector retrieval</w:t>
            </w:r>
          </w:p>
          <w:p>
            <w:pPr>
              <w:spacing w:after="20"/>
            </w:pPr>
            <w:r>
              <w:rPr>
                <w:rFonts w:ascii="Consolas" w:cs="Consolas" w:eastAsia="Consolas" w:hAnsi="Consolas"/>
                <w:color w:val="D4D4D4"/>
                <w:sz w:val="19"/>
                <w:szCs w:val="19"/>
              </w:rPr>
              <w:t xml:space="preserve">│   └── synthesize.py             cited answer generation</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compliance/                  Day A — Compliance Agent (Ollama, local)</w:t>
            </w:r>
          </w:p>
          <w:p>
            <w:pPr>
              <w:spacing w:after="20"/>
            </w:pPr>
            <w:r>
              <w:rPr>
                <w:rFonts w:ascii="Consolas" w:cs="Consolas" w:eastAsia="Consolas" w:hAnsi="Consolas"/>
                <w:color w:val="D4D4D4"/>
                <w:sz w:val="19"/>
                <w:szCs w:val="19"/>
              </w:rPr>
              <w:t xml:space="preserve">│   ├── attach_full_text.py       one-time graph enrichment</w:t>
            </w:r>
          </w:p>
          <w:p>
            <w:pPr>
              <w:spacing w:after="20"/>
            </w:pPr>
            <w:r>
              <w:rPr>
                <w:rFonts w:ascii="Consolas" w:cs="Consolas" w:eastAsia="Consolas" w:hAnsi="Consolas"/>
                <w:color w:val="D4D4D4"/>
                <w:sz w:val="19"/>
                <w:szCs w:val="19"/>
              </w:rPr>
              <w:t xml:space="preserve">│   ├── ollama_client.py          local model wrapper</w:t>
            </w:r>
          </w:p>
          <w:p>
            <w:pPr>
              <w:spacing w:after="20"/>
            </w:pPr>
            <w:r>
              <w:rPr>
                <w:rFonts w:ascii="Consolas" w:cs="Consolas" w:eastAsia="Consolas" w:hAnsi="Consolas"/>
                <w:color w:val="D4D4D4"/>
                <w:sz w:val="19"/>
                <w:szCs w:val="19"/>
              </w:rPr>
              <w:t xml:space="preserve">│   ├── compliance_agent.py       PASS/FLAG/UNKNOWN reasoning</w:t>
            </w:r>
          </w:p>
          <w:p>
            <w:pPr>
              <w:spacing w:after="20"/>
            </w:pPr>
            <w:r>
              <w:rPr>
                <w:rFonts w:ascii="Consolas" w:cs="Consolas" w:eastAsia="Consolas" w:hAnsi="Consolas"/>
                <w:color w:val="D4D4D4"/>
                <w:sz w:val="19"/>
                <w:szCs w:val="19"/>
              </w:rPr>
              <w:t xml:space="preserve">│   ├── gap_tracker.py            Documentation Gap logging</w:t>
            </w:r>
          </w:p>
          <w:p>
            <w:pPr>
              <w:spacing w:after="20"/>
            </w:pPr>
            <w:r>
              <w:rPr>
                <w:rFonts w:ascii="Consolas" w:cs="Consolas" w:eastAsia="Consolas" w:hAnsi="Consolas"/>
                <w:color w:val="D4D4D4"/>
                <w:sz w:val="19"/>
                <w:szCs w:val="19"/>
              </w:rPr>
              <w:t xml:space="preserve">│   └── api.py                    FastAPI app — all endpoints</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glasses/                     Day B — Pi Zero W client</w:t>
            </w:r>
          </w:p>
          <w:p>
            <w:pPr>
              <w:spacing w:after="20"/>
            </w:pPr>
            <w:r>
              <w:rPr>
                <w:rFonts w:ascii="Consolas" w:cs="Consolas" w:eastAsia="Consolas" w:hAnsi="Consolas"/>
                <w:color w:val="D4D4D4"/>
                <w:sz w:val="19"/>
                <w:szCs w:val="19"/>
              </w:rPr>
              <w:t xml:space="preserve">│   ├── glasses_client.py         camera → QR → API → OLED</w:t>
            </w:r>
          </w:p>
          <w:p>
            <w:pPr>
              <w:spacing w:after="20"/>
            </w:pPr>
            <w:r>
              <w:rPr>
                <w:rFonts w:ascii="Consolas" w:cs="Consolas" w:eastAsia="Consolas" w:hAnsi="Consolas"/>
                <w:color w:val="D4D4D4"/>
                <w:sz w:val="19"/>
                <w:szCs w:val="19"/>
              </w:rPr>
              <w:t xml:space="preserve">│   └── generate_demo_qrcodes.py  physical demo marker generator</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webui/                       Day B — manual fallback console</w:t>
            </w:r>
          </w:p>
          <w:p>
            <w:pPr>
              <w:spacing w:after="20"/>
            </w:pPr>
            <w:r>
              <w:rPr>
                <w:rFonts w:ascii="Consolas" w:cs="Consolas" w:eastAsia="Consolas" w:hAnsi="Consolas"/>
                <w:color w:val="D4D4D4"/>
                <w:sz w:val="19"/>
                <w:szCs w:val="19"/>
              </w:rPr>
              <w:t xml:space="preserve">    └── mobile_ui.html            Ask / Compliance / Gaps tabs</w:t>
            </w:r>
          </w:p>
        </w:tc>
      </w:tr>
    </w:tbl>
    <w:p>
      <w:pPr>
        <w:spacing w:after="120"/>
      </w:pPr>
    </w:p>
    <w:p>
      <w:pPr>
        <w:pStyle w:val="Heading1"/>
        <w:spacing w:after="160" w:before="360"/>
      </w:pPr>
      <w:r>
        <w:t xml:space="preserve">10. End-to-End Demo Flow</w:t>
      </w:r>
    </w:p>
    <w:p>
      <w:pPr>
        <w:pStyle w:val="ListParagraph"/>
        <w:numPr>
          <w:ilvl w:val="0"/>
          <w:numId w:val="1"/>
        </w:numPr>
        <w:spacing w:after="80" w:line="280"/>
      </w:pPr>
      <w:r>
        <w:rPr>
          <w:color w:val="1A1A1A"/>
          <w:sz w:val="22"/>
          <w:szCs w:val="22"/>
        </w:rPr>
        <w:t xml:space="preserve">Technician looks at Pump PMP-204 wearing the glasses; the camera reads a printed QR marker.</w:t>
      </w:r>
    </w:p>
    <w:p>
      <w:pPr>
        <w:pStyle w:val="ListParagraph"/>
        <w:numPr>
          <w:ilvl w:val="0"/>
          <w:numId w:val="1"/>
        </w:numPr>
        <w:spacing w:after="80" w:line="280"/>
      </w:pPr>
      <w:r>
        <w:rPr>
          <w:color w:val="1A1A1A"/>
          <w:sz w:val="22"/>
          <w:szCs w:val="22"/>
        </w:rPr>
        <w:t xml:space="preserve">OLED flashes a compliance verdict within ~2 seconds — e.g. FLAG, citing APM-SOP-014, because the observed state has no face shield.</w:t>
      </w:r>
    </w:p>
    <w:p>
      <w:pPr>
        <w:pStyle w:val="ListParagraph"/>
        <w:numPr>
          <w:ilvl w:val="0"/>
          <w:numId w:val="1"/>
        </w:numPr>
        <w:spacing w:after="80" w:line="280"/>
      </w:pPr>
      <w:r>
        <w:rPr>
          <w:color w:val="1A1A1A"/>
          <w:sz w:val="22"/>
          <w:szCs w:val="22"/>
        </w:rPr>
        <w:t xml:space="preserve">Technician asks (via a second QR marker) why the pump keeps failing; the OLED responds with the current maintenance procedure, explains that an older revision was superseded, and names the two prior incidents that triggered the change.</w:t>
      </w:r>
    </w:p>
    <w:p>
      <w:pPr>
        <w:pStyle w:val="ListParagraph"/>
        <w:numPr>
          <w:ilvl w:val="0"/>
          <w:numId w:val="1"/>
        </w:numPr>
        <w:spacing w:after="80" w:line="280"/>
      </w:pPr>
      <w:r>
        <w:rPr>
          <w:color w:val="1A1A1A"/>
          <w:sz w:val="22"/>
          <w:szCs w:val="22"/>
        </w:rPr>
        <w:t xml:space="preserve">Presenter switches to the mobile console to show the identical reasoning available on a phone, plus the Documentation Gap list — proving the platform, not just the glasses, is the product.</w:t>
      </w:r>
    </w:p>
    <w:p>
      <w:pPr>
        <w:pStyle w:val="ListParagraph"/>
        <w:numPr>
          <w:ilvl w:val="0"/>
          <w:numId w:val="1"/>
        </w:numPr>
        <w:spacing w:after="80" w:line="280"/>
      </w:pPr>
      <w:r>
        <w:rPr>
          <w:color w:val="1A1A1A"/>
          <w:sz w:val="22"/>
          <w:szCs w:val="22"/>
        </w:rPr>
        <w:t xml:space="preserve">Closing slide: honest architecture note on the edge/cloud split, the Gemini/Ollama split, and the QR-as-simulated-perception scope decision — presented as deliberate engineering choices, not gaps to hide.</w:t>
      </w:r>
    </w:p>
    <w:p>
      <w:pPr>
        <w:spacing w:after="120"/>
      </w:pPr>
    </w:p>
    <w:p>
      <w:pPr>
        <w:pStyle w:val="Heading1"/>
        <w:spacing w:after="160" w:before="360"/>
      </w:pPr>
      <w:r>
        <w:t xml:space="preserve">11. Judging Criteria Alignment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50"/>
      </w:tblGrid>
      <w:tr>
        <w:trPr>
          <w:tblHeader/>
        </w:trPr>
        <w:tc>
          <w:tcPr>
            <w:tcW w:type="dxa" w:w="2000"/>
            <w:shd w:fill="0A1628" w:val="clear"/>
            <w:tcMar>
              <w:top w:type="dxa" w:w="100"/>
              <w:left w:type="dxa" w:w="120"/>
              <w:bottom w:type="dxa" w:w="100"/>
              <w:right w:type="dxa" w:w="120"/>
            </w:tcMar>
          </w:tcPr>
          <w:p>
            <w:r>
              <w:rPr>
                <w:b/>
                <w:bCs/>
                <w:color w:val="FFFFFF"/>
                <w:sz w:val="19"/>
                <w:szCs w:val="19"/>
              </w:rPr>
              <w:t xml:space="preserve">Criteria</w:t>
            </w:r>
          </w:p>
        </w:tc>
        <w:tc>
          <w:tcPr>
            <w:tcW w:type="dxa" w:w="1200"/>
            <w:shd w:fill="0A1628" w:val="clear"/>
            <w:tcMar>
              <w:top w:type="dxa" w:w="100"/>
              <w:left w:type="dxa" w:w="120"/>
              <w:bottom w:type="dxa" w:w="100"/>
              <w:right w:type="dxa" w:w="120"/>
            </w:tcMar>
          </w:tcPr>
          <w:p>
            <w:r>
              <w:rPr>
                <w:b/>
                <w:bCs/>
                <w:color w:val="FFFFFF"/>
                <w:sz w:val="19"/>
                <w:szCs w:val="19"/>
              </w:rPr>
              <w:t xml:space="preserve">Weight</w:t>
            </w:r>
          </w:p>
        </w:tc>
        <w:tc>
          <w:tcPr>
            <w:tcW w:type="dxa" w:w="6150"/>
            <w:shd w:fill="0A1628" w:val="clear"/>
            <w:tcMar>
              <w:top w:type="dxa" w:w="100"/>
              <w:left w:type="dxa" w:w="120"/>
              <w:bottom w:type="dxa" w:w="100"/>
              <w:right w:type="dxa" w:w="120"/>
            </w:tcMar>
          </w:tcPr>
          <w:p>
            <w:r>
              <w:rPr>
                <w:b/>
                <w:bCs/>
                <w:color w:val="FFFFFF"/>
                <w:sz w:val="19"/>
                <w:szCs w:val="19"/>
              </w:rPr>
              <w:t xml:space="preserve">How this project addresses it</w:t>
            </w:r>
          </w:p>
        </w:tc>
      </w:tr>
      <w:tr>
        <w:tc>
          <w:tcPr>
            <w:tcW w:type="dxa" w:w="2000"/>
            <w:shd w:fill="FFFFFF" w:val="clear"/>
            <w:tcMar>
              <w:top w:type="dxa" w:w="90"/>
              <w:left w:type="dxa" w:w="120"/>
              <w:bottom w:type="dxa" w:w="90"/>
              <w:right w:type="dxa" w:w="120"/>
            </w:tcMar>
          </w:tcPr>
          <w:p>
            <w:pPr>
              <w:spacing w:line="260"/>
            </w:pPr>
            <w:r>
              <w:rPr>
                <w:color w:val="1A1A1A"/>
                <w:sz w:val="19"/>
                <w:szCs w:val="19"/>
              </w:rPr>
              <w:t xml:space="preserve">Innovation</w:t>
            </w:r>
          </w:p>
        </w:tc>
        <w:tc>
          <w:tcPr>
            <w:tcW w:type="dxa" w:w="1200"/>
            <w:shd w:fill="FFFFFF" w:val="clear"/>
            <w:tcMar>
              <w:top w:type="dxa" w:w="90"/>
              <w:left w:type="dxa" w:w="120"/>
              <w:bottom w:type="dxa" w:w="90"/>
              <w:right w:type="dxa" w:w="120"/>
            </w:tcMar>
          </w:tcPr>
          <w:p>
            <w:pPr>
              <w:spacing w:line="260"/>
            </w:pPr>
            <w:r>
              <w:rPr>
                <w:color w:val="1A1A1A"/>
                <w:sz w:val="19"/>
                <w:szCs w:val="19"/>
              </w:rPr>
              <w:t xml:space="preserve">25%</w:t>
            </w:r>
          </w:p>
        </w:tc>
        <w:tc>
          <w:tcPr>
            <w:tcW w:type="dxa" w:w="6150"/>
            <w:shd w:fill="FFFFFF" w:val="clear"/>
            <w:tcMar>
              <w:top w:type="dxa" w:w="90"/>
              <w:left w:type="dxa" w:w="120"/>
              <w:bottom w:type="dxa" w:w="90"/>
              <w:right w:type="dxa" w:w="120"/>
            </w:tcMar>
          </w:tcPr>
          <w:p>
            <w:pPr>
              <w:spacing w:line="260"/>
            </w:pPr>
            <w:r>
              <w:rPr>
                <w:color w:val="1A1A1A"/>
                <w:sz w:val="19"/>
                <w:szCs w:val="19"/>
              </w:rPr>
              <w:t xml:space="preserve">Hybrid knowledge-graph + RAG architecture with full provenance; working AR glasses hardware; a local-AI safety agent alongside a cloud-AI copilot, each chosen deliberately for the job it does.</w:t>
            </w:r>
          </w:p>
        </w:tc>
      </w:tr>
      <w:tr>
        <w:tc>
          <w:tcPr>
            <w:tcW w:type="dxa" w:w="2000"/>
            <w:shd w:fill="F4F7F9" w:val="clear"/>
            <w:tcMar>
              <w:top w:type="dxa" w:w="90"/>
              <w:left w:type="dxa" w:w="120"/>
              <w:bottom w:type="dxa" w:w="90"/>
              <w:right w:type="dxa" w:w="120"/>
            </w:tcMar>
          </w:tcPr>
          <w:p>
            <w:pPr>
              <w:spacing w:line="260"/>
            </w:pPr>
            <w:r>
              <w:rPr>
                <w:color w:val="1A1A1A"/>
                <w:sz w:val="19"/>
                <w:szCs w:val="19"/>
              </w:rPr>
              <w:t xml:space="preserve">Business Impact</w:t>
            </w:r>
          </w:p>
        </w:tc>
        <w:tc>
          <w:tcPr>
            <w:tcW w:type="dxa" w:w="1200"/>
            <w:shd w:fill="F4F7F9" w:val="clear"/>
            <w:tcMar>
              <w:top w:type="dxa" w:w="90"/>
              <w:left w:type="dxa" w:w="120"/>
              <w:bottom w:type="dxa" w:w="90"/>
              <w:right w:type="dxa" w:w="120"/>
            </w:tcMar>
          </w:tcPr>
          <w:p>
            <w:pPr>
              <w:spacing w:line="260"/>
            </w:pPr>
            <w:r>
              <w:rPr>
                <w:color w:val="1A1A1A"/>
                <w:sz w:val="19"/>
                <w:szCs w:val="19"/>
              </w:rPr>
              <w:t xml:space="preserve">25%</w:t>
            </w:r>
          </w:p>
        </w:tc>
        <w:tc>
          <w:tcPr>
            <w:tcW w:type="dxa" w:w="6150"/>
            <w:shd w:fill="F4F7F9" w:val="clear"/>
            <w:tcMar>
              <w:top w:type="dxa" w:w="90"/>
              <w:left w:type="dxa" w:w="120"/>
              <w:bottom w:type="dxa" w:w="90"/>
              <w:right w:type="dxa" w:w="120"/>
            </w:tcMar>
          </w:tcPr>
          <w:p>
            <w:pPr>
              <w:spacing w:line="260"/>
            </w:pPr>
            <w:r>
              <w:rPr>
                <w:color w:val="1A1A1A"/>
                <w:sz w:val="19"/>
                <w:szCs w:val="19"/>
              </w:rPr>
              <w:t xml:space="preserve">Directly targets the 35%-of-hours and 18–22%-of-downtime figures cited in PS #8's own problem context, with a measurable, demoable reduction in time-to-answer.</w:t>
            </w:r>
          </w:p>
        </w:tc>
      </w:tr>
      <w:tr>
        <w:tc>
          <w:tcPr>
            <w:tcW w:type="dxa" w:w="2000"/>
            <w:shd w:fill="FFFFFF" w:val="clear"/>
            <w:tcMar>
              <w:top w:type="dxa" w:w="90"/>
              <w:left w:type="dxa" w:w="120"/>
              <w:bottom w:type="dxa" w:w="90"/>
              <w:right w:type="dxa" w:w="120"/>
            </w:tcMar>
          </w:tcPr>
          <w:p>
            <w:pPr>
              <w:spacing w:line="260"/>
            </w:pPr>
            <w:r>
              <w:rPr>
                <w:color w:val="1A1A1A"/>
                <w:sz w:val="19"/>
                <w:szCs w:val="19"/>
              </w:rPr>
              <w:t xml:space="preserve">Technical Excellence</w:t>
            </w:r>
          </w:p>
        </w:tc>
        <w:tc>
          <w:tcPr>
            <w:tcW w:type="dxa" w:w="1200"/>
            <w:shd w:fill="FFFFFF" w:val="clear"/>
            <w:tcMar>
              <w:top w:type="dxa" w:w="90"/>
              <w:left w:type="dxa" w:w="120"/>
              <w:bottom w:type="dxa" w:w="90"/>
              <w:right w:type="dxa" w:w="120"/>
            </w:tcMar>
          </w:tcPr>
          <w:p>
            <w:pPr>
              <w:spacing w:line="260"/>
            </w:pPr>
            <w:r>
              <w:rPr>
                <w:color w:val="1A1A1A"/>
                <w:sz w:val="19"/>
                <w:szCs w:val="19"/>
              </w:rPr>
              <w:t xml:space="preserve">20%</w:t>
            </w:r>
          </w:p>
        </w:tc>
        <w:tc>
          <w:tcPr>
            <w:tcW w:type="dxa" w:w="6150"/>
            <w:shd w:fill="FFFFFF" w:val="clear"/>
            <w:tcMar>
              <w:top w:type="dxa" w:w="90"/>
              <w:left w:type="dxa" w:w="120"/>
              <w:bottom w:type="dxa" w:w="90"/>
              <w:right w:type="dxa" w:w="120"/>
            </w:tcMar>
          </w:tcPr>
          <w:p>
            <w:pPr>
              <w:spacing w:line="260"/>
            </w:pPr>
            <w:r>
              <w:rPr>
                <w:color w:val="1A1A1A"/>
                <w:sz w:val="19"/>
                <w:szCs w:val="19"/>
              </w:rPr>
              <w:t xml:space="preserve">Live working prototype: 88 real graph nodes, 144 relationships, a tested hybrid retrieval pipeline, a local LLM compliance agent, and real hardware — not slides.</w:t>
            </w:r>
          </w:p>
        </w:tc>
      </w:tr>
      <w:tr>
        <w:tc>
          <w:tcPr>
            <w:tcW w:type="dxa" w:w="2000"/>
            <w:shd w:fill="F4F7F9" w:val="clear"/>
            <w:tcMar>
              <w:top w:type="dxa" w:w="90"/>
              <w:left w:type="dxa" w:w="120"/>
              <w:bottom w:type="dxa" w:w="90"/>
              <w:right w:type="dxa" w:w="120"/>
            </w:tcMar>
          </w:tcPr>
          <w:p>
            <w:pPr>
              <w:spacing w:line="260"/>
            </w:pPr>
            <w:r>
              <w:rPr>
                <w:color w:val="1A1A1A"/>
                <w:sz w:val="19"/>
                <w:szCs w:val="19"/>
              </w:rPr>
              <w:t xml:space="preserve">Scalability</w:t>
            </w:r>
          </w:p>
        </w:tc>
        <w:tc>
          <w:tcPr>
            <w:tcW w:type="dxa" w:w="1200"/>
            <w:shd w:fill="F4F7F9" w:val="clear"/>
            <w:tcMar>
              <w:top w:type="dxa" w:w="90"/>
              <w:left w:type="dxa" w:w="120"/>
              <w:bottom w:type="dxa" w:w="90"/>
              <w:right w:type="dxa" w:w="120"/>
            </w:tcMar>
          </w:tcPr>
          <w:p>
            <w:pPr>
              <w:spacing w:line="260"/>
            </w:pPr>
            <w:r>
              <w:rPr>
                <w:color w:val="1A1A1A"/>
                <w:sz w:val="19"/>
                <w:szCs w:val="19"/>
              </w:rPr>
              <w:t xml:space="preserve">15%</w:t>
            </w:r>
          </w:p>
        </w:tc>
        <w:tc>
          <w:tcPr>
            <w:tcW w:type="dxa" w:w="6150"/>
            <w:shd w:fill="F4F7F9" w:val="clear"/>
            <w:tcMar>
              <w:top w:type="dxa" w:w="90"/>
              <w:left w:type="dxa" w:w="120"/>
              <w:bottom w:type="dxa" w:w="90"/>
              <w:right w:type="dxa" w:w="120"/>
            </w:tcMar>
          </w:tcPr>
          <w:p>
            <w:pPr>
              <w:spacing w:line="260"/>
            </w:pPr>
            <w:r>
              <w:rPr>
                <w:color w:val="1A1A1A"/>
                <w:sz w:val="19"/>
                <w:szCs w:val="19"/>
              </w:rPr>
              <w:t xml:space="preserve">Cloud-native graph and vector stores; knowledge graph grows with every new document ingested; one API serves glasses, mobile, and (architecturally) a manager dashboard.</w:t>
            </w:r>
          </w:p>
        </w:tc>
      </w:tr>
      <w:tr>
        <w:tc>
          <w:tcPr>
            <w:tcW w:type="dxa" w:w="2000"/>
            <w:shd w:fill="FFFFFF" w:val="clear"/>
            <w:tcMar>
              <w:top w:type="dxa" w:w="90"/>
              <w:left w:type="dxa" w:w="120"/>
              <w:bottom w:type="dxa" w:w="90"/>
              <w:right w:type="dxa" w:w="120"/>
            </w:tcMar>
          </w:tcPr>
          <w:p>
            <w:pPr>
              <w:spacing w:line="260"/>
            </w:pPr>
            <w:r>
              <w:rPr>
                <w:color w:val="1A1A1A"/>
                <w:sz w:val="19"/>
                <w:szCs w:val="19"/>
              </w:rPr>
              <w:t xml:space="preserve">User Experience</w:t>
            </w:r>
          </w:p>
        </w:tc>
        <w:tc>
          <w:tcPr>
            <w:tcW w:type="dxa" w:w="1200"/>
            <w:shd w:fill="FFFFFF" w:val="clear"/>
            <w:tcMar>
              <w:top w:type="dxa" w:w="90"/>
              <w:left w:type="dxa" w:w="120"/>
              <w:bottom w:type="dxa" w:w="90"/>
              <w:right w:type="dxa" w:w="120"/>
            </w:tcMar>
          </w:tcPr>
          <w:p>
            <w:pPr>
              <w:spacing w:line="260"/>
            </w:pPr>
            <w:r>
              <w:rPr>
                <w:color w:val="1A1A1A"/>
                <w:sz w:val="19"/>
                <w:szCs w:val="19"/>
              </w:rPr>
              <w:t xml:space="preserve">15%</w:t>
            </w:r>
          </w:p>
        </w:tc>
        <w:tc>
          <w:tcPr>
            <w:tcW w:type="dxa" w:w="6150"/>
            <w:shd w:fill="FFFFFF" w:val="clear"/>
            <w:tcMar>
              <w:top w:type="dxa" w:w="90"/>
              <w:left w:type="dxa" w:w="120"/>
              <w:bottom w:type="dxa" w:w="90"/>
              <w:right w:type="dxa" w:w="120"/>
            </w:tcMar>
          </w:tcPr>
          <w:p>
            <w:pPr>
              <w:spacing w:line="260"/>
            </w:pPr>
            <w:r>
              <w:rPr>
                <w:color w:val="1A1A1A"/>
                <w:sz w:val="19"/>
                <w:szCs w:val="19"/>
              </w:rPr>
              <w:t xml:space="preserve">Hands-free field delivery via glasses; a mobile fallback that satisfies PS #8's own mobile requirement; and a Documentation Gap tracker that turns system uncertainty into an actionable list.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8A99" w:sz="12" w:space="4"/>
      </w:pBdr>
      <w:spacing w:after="160" w:before="360"/>
    </w:pPr>
    <w:rPr>
      <w:rFonts w:ascii="Calibri" w:cs="Calibri" w:eastAsia="Calibri" w:hAnsi="Calibri"/>
      <w:b/>
      <w:bCs/>
      <w:color w:val="0A1628"/>
      <w:sz w:val="32"/>
      <w:szCs w:val="32"/>
    </w:rPr>
  </w:style>
  <w:style w:type="paragraph" w:styleId="Heading2">
    <w:name w:val="Heading 2"/>
    <w:basedOn w:val="Normal"/>
    <w:next w:val="Normal"/>
    <w:qFormat/>
    <w:pPr>
      <w:spacing w:after="120" w:before="280"/>
    </w:pPr>
    <w:rPr>
      <w:rFonts w:ascii="Calibri" w:cs="Calibri" w:eastAsia="Calibri" w:hAnsi="Calibri"/>
      <w:b/>
      <w:bCs/>
      <w:color w:val="1E3A5F"/>
      <w:sz w:val="26"/>
      <w:szCs w:val="26"/>
    </w:rPr>
  </w:style>
  <w:style w:type="paragraph" w:styleId="Heading3">
    <w:name w:val="Heading 3"/>
    <w:basedOn w:val="Normal"/>
    <w:next w:val="Normal"/>
    <w:qFormat/>
    <w:pPr>
      <w:spacing w:after="100" w:before="200"/>
    </w:pPr>
    <w:rPr>
      <w:rFonts w:ascii="Calibri" w:cs="Calibri" w:eastAsia="Calibri" w:hAnsi="Calibri"/>
      <w:b/>
      <w:bCs/>
      <w:color w:val="0E8A9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2026-07-20T19:25:16.901Z</dcterms:created>
  <dcterms:modified xsi:type="dcterms:W3CDTF">2026-07-20T19:25:16.929Z</dcterms:modified>
</cp:coreProperties>
</file>

<file path=docProps/custom.xml><?xml version="1.0" encoding="utf-8"?>
<Properties xmlns="http://schemas.openxmlformats.org/officeDocument/2006/custom-properties" xmlns:vt="http://schemas.openxmlformats.org/officeDocument/2006/docPropsVTypes"/>
</file>