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Static approaches do not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need the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code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to be executed again. Models built using static features have many advantages and are less costly. 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Pinto et al. built a set of predictors considering that some patterns within the test code may be employed to identify flaky tests automatically.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 authors came to the conclusion that the vocabulary-based strategy performs poorly when used across projects because it is context-sensitive and prone to overfitting.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Considering this result, an alternative approach for flaky test prediction based on test smells is used. Test smells are associated with potential design problems in the test code.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Test smells are a deviation from how tests should be created, arranged, and interacted with one another. That deviation can indicate issues with test design and negatively impact test performance.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An open-source test smell detection tool, tsDetect is used. For each test case, this tool requires the identification of the corresponding production code to detect the test smells.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