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rFonts w:ascii="Lato" w:hAnsi="Lato" w:eastAsia="Lato" w:cs="Lato"/>
        </w:rPr>
      </w:pPr>
      <w:bookmarkStart w:id="0" w:name="_9qzjn69dk72f"/>
      <w:bookmarkEnd w:id="0"/>
      <w:r>
        <w:rPr>
          <w:rFonts w:eastAsia="Lato" w:cs="Lato" w:ascii="Lato" w:hAnsi="Lato"/>
        </w:rPr>
        <w:t>3</w:t>
      </w:r>
    </w:p>
    <w:p>
      <w:pPr>
        <w:pStyle w:val="Heading1"/>
        <w:rPr>
          <w:rFonts w:ascii="Lato" w:hAnsi="Lato" w:eastAsia="Lato" w:cs="Lato"/>
        </w:rPr>
      </w:pPr>
      <w:r>
        <w:rPr>
          <w:rFonts w:eastAsia="Lato" w:cs="Lato" w:ascii="Lato" w:hAnsi="Lato"/>
        </w:rPr>
        <w:t>AI Agent &amp; A2A Red Teaming</w:t>
      </w:r>
    </w:p>
    <w:p>
      <w:pPr>
        <w:pStyle w:val="Heading2"/>
        <w:rPr>
          <w:rFonts w:ascii="Lato" w:hAnsi="Lato" w:eastAsia="Lato" w:cs="Lato"/>
        </w:rPr>
      </w:pPr>
      <w:bookmarkStart w:id="1" w:name="_1n7nrmd1mblr"/>
      <w:bookmarkEnd w:id="1"/>
      <w:r>
        <w:rPr>
          <w:rFonts w:eastAsia="Lato" w:cs="Lato" w:ascii="Lato" w:hAnsi="Lato"/>
        </w:rPr>
        <w:t>Executive Summary</w:t>
      </w:r>
    </w:p>
    <w:p>
      <w:pPr>
        <w:pStyle w:val="normal1"/>
        <w:rPr>
          <w:rFonts w:ascii="Lato" w:hAnsi="Lato" w:eastAsia="Lato" w:cs="Lato"/>
        </w:rPr>
      </w:pPr>
      <w:r>
        <w:rPr>
          <w:rFonts w:eastAsia="Lato" w:cs="Lato" w:ascii="Lato" w:hAnsi="Lato"/>
        </w:rPr>
        <w:t>The deployment of autonomous AI agents in enterprise environments has fundamentally altered the cybersecurity threat landscape. Unlike traditional GenAI applications that operate through stateless request-response cycles, AI agents maintain persistent state, execute multi-step workflows, and interact with external systems through standardized protocols (A2A, MCP). This paradigm shift renders existing red teaming methodologies inadequate, creating an urgent need for specialized testing frameworks that can assess behavioral vulnerabilities in autonomous, reasoning systems.</w:t>
      </w:r>
    </w:p>
    <w:p>
      <w:pPr>
        <w:pStyle w:val="Heading2"/>
        <w:rPr>
          <w:rFonts w:ascii="Lato" w:hAnsi="Lato" w:eastAsia="Lato" w:cs="Lato"/>
        </w:rPr>
      </w:pPr>
      <w:bookmarkStart w:id="2" w:name="_d0r3tgonwbyz"/>
      <w:bookmarkEnd w:id="2"/>
      <w:r>
        <w:rPr>
          <w:rFonts w:eastAsia="Lato" w:cs="Lato" w:ascii="Lato" w:hAnsi="Lato"/>
        </w:rPr>
        <w:t>Technical Problem Definition</w:t>
      </w:r>
    </w:p>
    <w:p>
      <w:pPr>
        <w:pStyle w:val="Heading3"/>
        <w:rPr>
          <w:rFonts w:ascii="Lato" w:hAnsi="Lato" w:eastAsia="Lato" w:cs="Lato"/>
        </w:rPr>
      </w:pPr>
      <w:bookmarkStart w:id="3" w:name="_yyl53gyz9mzc"/>
      <w:bookmarkEnd w:id="3"/>
      <w:r>
        <w:rPr>
          <w:rFonts w:eastAsia="Lato" w:cs="Lato" w:ascii="Lato" w:hAnsi="Lato"/>
        </w:rPr>
        <w:t>1. The Agent Security Paradigm Shift</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rPr>
          <w:rFonts w:ascii="Lato" w:hAnsi="Lato" w:eastAsia="Lato" w:cs="Lato"/>
          <w:b/>
        </w:rPr>
      </w:pPr>
      <w:r>
        <w:rPr/>
        <w:drawing>
          <wp:inline distT="0" distB="0" distL="0" distR="0">
            <wp:extent cx="6499225" cy="809625"/>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6499225" cy="809625"/>
                    </a:xfrm>
                    <a:prstGeom prst="rect">
                      <a:avLst/>
                    </a:prstGeom>
                    <a:noFill/>
                  </pic:spPr>
                </pic:pic>
              </a:graphicData>
            </a:graphic>
          </wp:inline>
        </w:drawing>
      </w:r>
    </w:p>
    <w:p>
      <w:pPr>
        <w:pStyle w:val="normal1"/>
        <w:rPr>
          <w:rFonts w:ascii="Lato" w:hAnsi="Lato" w:eastAsia="Lato" w:cs="Lato"/>
        </w:rPr>
      </w:pPr>
      <w:r>
        <w:rPr>
          <w:rFonts w:eastAsia="Lato" w:cs="Lato" w:ascii="Lato" w:hAnsi="Lato"/>
          <w:b/>
        </w:rPr>
        <w:t>Traditional Approach Limitations:</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Stateless assumption</w:t>
      </w:r>
      <w:r>
        <w:rPr>
          <w:rFonts w:eastAsia="Lato" w:cs="Lato" w:ascii="Lato" w:hAnsi="Lato"/>
        </w:rPr>
        <w:t>: Each interaction treated independently</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Single-turn testing</w:t>
      </w:r>
      <w:r>
        <w:rPr>
          <w:rFonts w:eastAsia="Lato" w:cs="Lato" w:ascii="Lato" w:hAnsi="Lato"/>
        </w:rPr>
        <w:t>: No consideration of multi-step attack chains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Input-focused</w:t>
      </w:r>
      <w:r>
        <w:rPr>
          <w:rFonts w:eastAsia="Lato" w:cs="Lato" w:ascii="Lato" w:hAnsi="Lato"/>
        </w:rPr>
        <w:t>: Emphasis on malicious prompts rather than behavioral manipulation</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Deterministic validation</w:t>
      </w:r>
      <w:r>
        <w:rPr>
          <w:rFonts w:eastAsia="Lato" w:cs="Lato" w:ascii="Lato" w:hAnsi="Lato"/>
        </w:rPr>
        <w:t>: Binary pass/fail security assessments</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rPr>
          <w:rFonts w:ascii="Lato" w:hAnsi="Lato" w:eastAsia="Lato" w:cs="Lato"/>
        </w:rPr>
      </w:pPr>
      <w:r>
        <w:rPr>
          <w:rFonts w:eastAsia="Lato" w:cs="Lato" w:ascii="Lato" w:hAnsi="Lato"/>
          <w:b/>
        </w:rPr>
        <w:t>Agent-Specific Requirements:</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Stateful analysis</w:t>
      </w:r>
      <w:r>
        <w:rPr>
          <w:rFonts w:eastAsia="Lato" w:cs="Lato" w:ascii="Lato" w:hAnsi="Lato"/>
        </w:rPr>
        <w:t>: Testing across persistent sessions and memory states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Workflow-aware testing</w:t>
      </w:r>
      <w:r>
        <w:rPr>
          <w:rFonts w:eastAsia="Lato" w:cs="Lato" w:ascii="Lato" w:hAnsi="Lato"/>
        </w:rPr>
        <w:t>: Understanding multi-step decision chains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Behavioral validation</w:t>
      </w:r>
      <w:r>
        <w:rPr>
          <w:rFonts w:eastAsia="Lato" w:cs="Lato" w:ascii="Lato" w:hAnsi="Lato"/>
        </w:rPr>
        <w:t>: Assessing action patterns rather than text outputs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Protocol-aware assessment</w:t>
      </w:r>
      <w:r>
        <w:rPr>
          <w:rFonts w:eastAsia="Lato" w:cs="Lato" w:ascii="Lato" w:hAnsi="Lato"/>
        </w:rPr>
        <w:t>: Testing A2A and MCP communication vectors</w:t>
      </w:r>
    </w:p>
    <w:p>
      <w:pPr>
        <w:pStyle w:val="Heading3"/>
        <w:rPr>
          <w:rFonts w:ascii="Lato" w:hAnsi="Lato" w:eastAsia="Lato" w:cs="Lato"/>
        </w:rPr>
      </w:pPr>
      <w:bookmarkStart w:id="4" w:name="_2gjwp7wq5ocs"/>
      <w:bookmarkEnd w:id="4"/>
      <w:r>
        <w:rPr>
          <w:rFonts w:eastAsia="Lato" w:cs="Lato" w:ascii="Lato" w:hAnsi="Lato"/>
        </w:rPr>
        <w:t>2. Multi-Dimensional Threat Surface Analysis</w:t>
      </w:r>
    </w:p>
    <w:p>
      <w:pPr>
        <w:pStyle w:val="normal1"/>
        <w:rPr/>
      </w:pPr>
      <w:r>
        <w:rPr/>
        <w:drawing>
          <wp:inline distT="0" distB="0" distL="0" distR="0">
            <wp:extent cx="5731510" cy="381000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5731510" cy="3810000"/>
                    </a:xfrm>
                    <a:prstGeom prst="rect">
                      <a:avLst/>
                    </a:prstGeom>
                    <a:noFill/>
                  </pic:spPr>
                </pic:pic>
              </a:graphicData>
            </a:graphic>
          </wp:inline>
        </w:drawing>
      </w:r>
    </w:p>
    <w:p>
      <w:pPr>
        <w:pStyle w:val="Heading3"/>
        <w:rPr>
          <w:rFonts w:ascii="Lato" w:hAnsi="Lato" w:eastAsia="Lato" w:cs="Lato"/>
        </w:rPr>
      </w:pPr>
      <w:bookmarkStart w:id="5" w:name="_otkjf8qq8yb6"/>
      <w:bookmarkEnd w:id="5"/>
      <w:r>
        <w:rPr>
          <w:rFonts w:eastAsia="Lato" w:cs="Lato" w:ascii="Lato" w:hAnsi="Lato"/>
        </w:rPr>
        <w:t>3. Agent Architecture Vulnerability Model</w:t>
      </w:r>
    </w:p>
    <w:p>
      <w:pPr>
        <w:pStyle w:val="normal1"/>
        <w:rPr/>
      </w:pPr>
      <w:r>
        <w:rPr/>
        <w:drawing>
          <wp:inline distT="0" distB="0" distL="0" distR="0">
            <wp:extent cx="6511925" cy="98425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4"/>
                    <a:stretch>
                      <a:fillRect/>
                    </a:stretch>
                  </pic:blipFill>
                  <pic:spPr bwMode="auto">
                    <a:xfrm>
                      <a:off x="0" y="0"/>
                      <a:ext cx="6511925" cy="984250"/>
                    </a:xfrm>
                    <a:prstGeom prst="rect">
                      <a:avLst/>
                    </a:prstGeom>
                    <a:noFill/>
                  </pic:spPr>
                </pic:pic>
              </a:graphicData>
            </a:graphic>
          </wp:inline>
        </w:drawing>
      </w:r>
    </w:p>
    <w:p>
      <w:pPr>
        <w:pStyle w:val="Heading2"/>
        <w:rPr>
          <w:rFonts w:ascii="Lato" w:hAnsi="Lato" w:eastAsia="Lato" w:cs="Lato"/>
        </w:rPr>
      </w:pPr>
      <w:bookmarkStart w:id="6" w:name="_focg7y3dqlqb"/>
      <w:bookmarkEnd w:id="6"/>
      <w:r>
        <w:rPr>
          <w:rFonts w:eastAsia="Lato" w:cs="Lato" w:ascii="Lato" w:hAnsi="Lato"/>
        </w:rPr>
        <w:t>Technical Challenges</w:t>
      </w:r>
    </w:p>
    <w:p>
      <w:pPr>
        <w:pStyle w:val="Heading3"/>
        <w:rPr>
          <w:rFonts w:ascii="Lato" w:hAnsi="Lato" w:eastAsia="Lato" w:cs="Lato"/>
        </w:rPr>
      </w:pPr>
      <w:bookmarkStart w:id="7" w:name="_9m9h1ulc6i6"/>
      <w:bookmarkEnd w:id="7"/>
      <w:r>
        <w:rPr>
          <w:rFonts w:eastAsia="Lato" w:cs="Lato" w:ascii="Lato" w:hAnsi="Lato"/>
        </w:rPr>
        <w:t>1. State Space Complexity</w:t>
      </w:r>
    </w:p>
    <w:p>
      <w:pPr>
        <w:pStyle w:val="normal1"/>
        <w:rPr>
          <w:rFonts w:ascii="Lato" w:hAnsi="Lato" w:eastAsia="Lato" w:cs="Lato"/>
        </w:rPr>
      </w:pPr>
      <w:r>
        <w:rPr>
          <w:rFonts w:eastAsia="Lato" w:cs="Lato" w:ascii="Lato" w:hAnsi="Lato"/>
          <w:b/>
        </w:rPr>
        <w:t>Mathematical Complexity:</w:t>
      </w:r>
      <w:r>
        <w:rPr>
          <w:rFonts w:eastAsia="Lato" w:cs="Lato" w:ascii="Lato" w:hAnsi="Lato"/>
        </w:rPr>
        <w:t xml:space="preserve"> Given an agent with:</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color w:val="188038"/>
        </w:rPr>
        <w:t>M</w:t>
      </w:r>
      <w:r>
        <w:rPr>
          <w:rFonts w:eastAsia="Lato" w:cs="Lato" w:ascii="Lato" w:hAnsi="Lato"/>
        </w:rPr>
        <w:t xml:space="preserve"> memory states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color w:val="188038"/>
        </w:rPr>
        <w:t>G</w:t>
      </w:r>
      <w:r>
        <w:rPr>
          <w:rFonts w:eastAsia="Lato" w:cs="Lato" w:ascii="Lato" w:hAnsi="Lato"/>
        </w:rPr>
        <w:t xml:space="preserve"> possible goals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color w:val="188038"/>
        </w:rPr>
        <w:t>T</w:t>
      </w:r>
      <w:r>
        <w:rPr>
          <w:rFonts w:eastAsia="Lato" w:cs="Lato" w:ascii="Lato" w:hAnsi="Lato"/>
        </w:rPr>
        <w:t xml:space="preserve"> available tools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color w:val="188038"/>
        </w:rPr>
        <w:t>E</w:t>
      </w:r>
      <w:r>
        <w:rPr>
          <w:rFonts w:eastAsia="Lato" w:cs="Lato" w:ascii="Lato" w:hAnsi="Lato"/>
        </w:rPr>
        <w:t xml:space="preserve"> environmental contexts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color w:val="188038"/>
        </w:rPr>
        <w:t>C</w:t>
      </w:r>
      <w:r>
        <w:rPr>
          <w:rFonts w:eastAsia="Lato" w:cs="Lato" w:ascii="Lato" w:hAnsi="Lato"/>
        </w:rPr>
        <w:t xml:space="preserve"> communication channels</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rPr>
          <w:rFonts w:ascii="Lato" w:hAnsi="Lato" w:eastAsia="Lato" w:cs="Lato"/>
        </w:rPr>
      </w:pPr>
      <w:r>
        <w:rPr>
          <w:rFonts w:eastAsia="Lato" w:cs="Lato" w:ascii="Lato" w:hAnsi="Lato"/>
        </w:rPr>
        <w:t xml:space="preserve">The total state space = </w:t>
      </w:r>
      <w:r>
        <w:rPr>
          <w:rFonts w:eastAsia="Lato" w:cs="Lato" w:ascii="Lato" w:hAnsi="Lato"/>
          <w:color w:val="188038"/>
        </w:rPr>
        <w:t>M × G × T × E × C</w:t>
      </w:r>
    </w:p>
    <w:p>
      <w:pPr>
        <w:pStyle w:val="Heading3"/>
        <w:rPr>
          <w:rFonts w:ascii="Lato" w:hAnsi="Lato" w:eastAsia="Lato" w:cs="Lato"/>
        </w:rPr>
      </w:pPr>
      <w:bookmarkStart w:id="8" w:name="_y9qa7qbfo6ky"/>
      <w:bookmarkEnd w:id="8"/>
      <w:r>
        <w:rPr>
          <w:rFonts w:eastAsia="Lato" w:cs="Lato" w:ascii="Lato" w:hAnsi="Lato"/>
        </w:rPr>
        <w:t>2. Protocol Integration Vulnerabilities</w:t>
      </w:r>
    </w:p>
    <w:p>
      <w:pPr>
        <w:pStyle w:val="normal1"/>
        <w:rPr/>
      </w:pPr>
      <w:r>
        <w:rPr/>
        <w:drawing>
          <wp:inline distT="0" distB="0" distL="0" distR="0">
            <wp:extent cx="5731510" cy="4406900"/>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5"/>
                    <a:stretch>
                      <a:fillRect/>
                    </a:stretch>
                  </pic:blipFill>
                  <pic:spPr bwMode="auto">
                    <a:xfrm>
                      <a:off x="0" y="0"/>
                      <a:ext cx="5731510" cy="4406900"/>
                    </a:xfrm>
                    <a:prstGeom prst="rect">
                      <a:avLst/>
                    </a:prstGeom>
                    <a:noFill/>
                  </pic:spPr>
                </pic:pic>
              </a:graphicData>
            </a:graphic>
          </wp:inline>
        </w:drawing>
      </w:r>
    </w:p>
    <w:p>
      <w:pPr>
        <w:pStyle w:val="Heading3"/>
        <w:rPr>
          <w:rFonts w:ascii="Lato" w:hAnsi="Lato" w:eastAsia="Lato" w:cs="Lato"/>
        </w:rPr>
      </w:pPr>
      <w:bookmarkStart w:id="9" w:name="_osd0jvpuij5d"/>
      <w:bookmarkEnd w:id="9"/>
      <w:r>
        <w:rPr>
          <w:rFonts w:eastAsia="Lato" w:cs="Lato" w:ascii="Lato" w:hAnsi="Lato"/>
        </w:rPr>
        <w:t>3. Behavioral Analysis Complexity</w:t>
      </w:r>
    </w:p>
    <w:p>
      <w:pPr>
        <w:pStyle w:val="normal1"/>
        <w:rPr>
          <w:rFonts w:ascii="Lato" w:hAnsi="Lato" w:eastAsia="Lato" w:cs="Lato"/>
        </w:rPr>
      </w:pPr>
      <w:r>
        <w:rPr>
          <w:rFonts w:eastAsia="Lato" w:cs="Lato" w:ascii="Lato" w:hAnsi="Lato"/>
          <w:b/>
        </w:rPr>
        <w:t>Traditional Testing:</w:t>
      </w:r>
      <w:r>
        <w:rPr>
          <w:rFonts w:eastAsia="Lato" w:cs="Lato" w:ascii="Lato" w:hAnsi="Lato"/>
        </w:rPr>
        <w:t xml:space="preserve"> </w:t>
      </w:r>
      <w:r>
        <w:rPr>
          <w:rFonts w:eastAsia="Nova Mono" w:cs="Nova Mono" w:ascii="Nova Mono" w:hAnsi="Nova Mono"/>
          <w:color w:val="188038"/>
        </w:rPr>
        <w:t>Input → Model → Output</w:t>
      </w:r>
      <w:r>
        <w:rPr>
          <w:rFonts w:eastAsia="Lato" w:cs="Lato" w:ascii="Lato" w:hAnsi="Lato"/>
        </w:rPr>
        <w:t xml:space="preserve"> </w:t>
      </w:r>
    </w:p>
    <w:p>
      <w:pPr>
        <w:pStyle w:val="normal1"/>
        <w:rPr>
          <w:rFonts w:ascii="Lato" w:hAnsi="Lato" w:eastAsia="Lato" w:cs="Lato"/>
        </w:rPr>
      </w:pPr>
      <w:r>
        <w:rPr>
          <w:rFonts w:eastAsia="Lato" w:cs="Lato" w:ascii="Lato" w:hAnsi="Lato"/>
          <w:b/>
        </w:rPr>
        <w:t>Agent Testing:</w:t>
      </w:r>
      <w:r>
        <w:rPr>
          <w:rFonts w:eastAsia="Lato" w:cs="Lato" w:ascii="Lato" w:hAnsi="Lato"/>
        </w:rPr>
        <w:t xml:space="preserve"> </w:t>
      </w:r>
      <w:r>
        <w:rPr>
          <w:rFonts w:eastAsia="Nova Mono" w:cs="Nova Mono" w:ascii="Nova Mono" w:hAnsi="Nova Mono"/>
          <w:color w:val="188038"/>
        </w:rPr>
        <w:t>Context → Memory → Planning → Tool Selection → Action → Environment Impact → Memory Update</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drawing>
          <wp:inline distT="0" distB="0" distL="0" distR="0">
            <wp:extent cx="5731510" cy="2400300"/>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5731510" cy="2400300"/>
                    </a:xfrm>
                    <a:prstGeom prst="rect">
                      <a:avLst/>
                    </a:prstGeom>
                    <a:noFill/>
                  </pic:spPr>
                </pic:pic>
              </a:graphicData>
            </a:graphic>
          </wp:inline>
        </w:drawing>
      </w:r>
    </w:p>
    <w:p>
      <w:pPr>
        <w:pStyle w:val="Heading3"/>
        <w:rPr>
          <w:rFonts w:ascii="Lato" w:hAnsi="Lato" w:eastAsia="Lato" w:cs="Lato"/>
        </w:rPr>
      </w:pPr>
      <w:bookmarkStart w:id="10" w:name="_hgmesppohxed"/>
      <w:bookmarkEnd w:id="10"/>
      <w:r>
        <w:rPr>
          <w:rFonts w:eastAsia="Lato" w:cs="Lato" w:ascii="Lato" w:hAnsi="Lato"/>
        </w:rPr>
        <w:t>4. Emergent Behavior Unpredictability</w:t>
      </w:r>
    </w:p>
    <w:p>
      <w:pPr>
        <w:pStyle w:val="normal1"/>
        <w:rPr>
          <w:rFonts w:ascii="Lato" w:hAnsi="Lato" w:eastAsia="Lato" w:cs="Lato"/>
        </w:rPr>
      </w:pPr>
      <w:r>
        <w:rPr>
          <w:rFonts w:eastAsia="Lato" w:cs="Lato" w:ascii="Lato" w:hAnsi="Lato"/>
          <w:b/>
        </w:rPr>
        <w:t>Non-Linear Vulnerability Emergence:</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numPr>
          <w:ilvl w:val="0"/>
          <w:numId w:val="2"/>
        </w:numPr>
        <w:ind w:hanging="360" w:start="720"/>
        <w:rPr>
          <w:rFonts w:ascii="Lato" w:hAnsi="Lato" w:eastAsia="Lato" w:cs="Lato"/>
          <w:i w:val="false"/>
          <w:i w:val="false"/>
          <w:caps w:val="false"/>
          <w:smallCaps w:val="false"/>
          <w:strike w:val="false"/>
          <w:dstrike w:val="false"/>
          <w:color w:val="000000"/>
          <w:position w:val="0"/>
          <w:sz w:val="22"/>
          <w:sz w:val="22"/>
          <w:szCs w:val="22"/>
          <w:shd w:fill="auto" w:val="clear"/>
          <w:vertAlign w:val="baseline"/>
        </w:rPr>
      </w:pPr>
      <w:r>
        <w:rPr>
          <w:rFonts w:eastAsia="Lato" w:cs="Lato" w:ascii="Lato" w:hAnsi="Lato"/>
        </w:rPr>
        <w:t>Single benign inputs can cascade into significant security breaches</w:t>
      </w:r>
    </w:p>
    <w:p>
      <w:pPr>
        <w:pStyle w:val="normal1"/>
        <w:numPr>
          <w:ilvl w:val="0"/>
          <w:numId w:val="2"/>
        </w:numPr>
        <w:ind w:hanging="360" w:start="720"/>
        <w:rPr>
          <w:rFonts w:ascii="Lato" w:hAnsi="Lato" w:eastAsia="Lato" w:cs="Lato"/>
          <w:i w:val="false"/>
          <w:i w:val="false"/>
          <w:caps w:val="false"/>
          <w:smallCaps w:val="false"/>
          <w:strike w:val="false"/>
          <w:dstrike w:val="false"/>
          <w:color w:val="000000"/>
          <w:position w:val="0"/>
          <w:sz w:val="22"/>
          <w:sz w:val="22"/>
          <w:szCs w:val="22"/>
          <w:shd w:fill="auto" w:val="clear"/>
          <w:vertAlign w:val="baseline"/>
        </w:rPr>
      </w:pPr>
      <w:r>
        <w:rPr>
          <w:rFonts w:eastAsia="Lato" w:cs="Lato" w:ascii="Lato" w:hAnsi="Lato"/>
        </w:rPr>
        <w:t>Agent learning can amplify initial vulnerabilities over time</w:t>
      </w:r>
    </w:p>
    <w:p>
      <w:pPr>
        <w:pStyle w:val="normal1"/>
        <w:numPr>
          <w:ilvl w:val="0"/>
          <w:numId w:val="2"/>
        </w:numPr>
        <w:ind w:hanging="360" w:start="720"/>
        <w:rPr>
          <w:rFonts w:ascii="Lato" w:hAnsi="Lato" w:eastAsia="Lato" w:cs="Lato"/>
          <w:i w:val="false"/>
          <w:i w:val="false"/>
          <w:caps w:val="false"/>
          <w:smallCaps w:val="false"/>
          <w:strike w:val="false"/>
          <w:dstrike w:val="false"/>
          <w:color w:val="000000"/>
          <w:position w:val="0"/>
          <w:sz w:val="22"/>
          <w:sz w:val="22"/>
          <w:szCs w:val="22"/>
          <w:shd w:fill="auto" w:val="clear"/>
          <w:vertAlign w:val="baseline"/>
        </w:rPr>
      </w:pPr>
      <w:r>
        <w:rPr>
          <w:rFonts w:eastAsia="Lato" w:cs="Lato" w:ascii="Lato" w:hAnsi="Lato"/>
        </w:rPr>
        <w:t>Multi-agent interactions create unpredictable systemic risks</w:t>
      </w:r>
    </w:p>
    <w:p>
      <w:pPr>
        <w:pStyle w:val="Heading2"/>
        <w:rPr>
          <w:rFonts w:ascii="Lato" w:hAnsi="Lato" w:eastAsia="Lato" w:cs="Lato"/>
        </w:rPr>
      </w:pPr>
      <w:bookmarkStart w:id="11" w:name="_usuryektgq1p"/>
      <w:bookmarkEnd w:id="11"/>
      <w:r>
        <w:rPr>
          <w:rFonts w:eastAsia="Lato" w:cs="Lato" w:ascii="Lato" w:hAnsi="Lato"/>
        </w:rPr>
        <w:t>Proposed Solution Architecture</w:t>
      </w:r>
    </w:p>
    <w:p>
      <w:pPr>
        <w:pStyle w:val="Heading3"/>
        <w:rPr>
          <w:rFonts w:ascii="Lato" w:hAnsi="Lato" w:eastAsia="Lato" w:cs="Lato"/>
        </w:rPr>
      </w:pPr>
      <w:bookmarkStart w:id="12" w:name="_jj1mu06g8heg"/>
      <w:bookmarkEnd w:id="12"/>
      <w:r>
        <w:rPr>
          <w:rFonts w:eastAsia="Lato" w:cs="Lato" w:ascii="Lato" w:hAnsi="Lato"/>
        </w:rPr>
        <w:t>1. Comprehensive Agent Red Teaming Platform (CARTP)</w:t>
      </w:r>
    </w:p>
    <w:p>
      <w:pPr>
        <w:pStyle w:val="normal1"/>
        <w:rPr/>
      </w:pPr>
      <w:r>
        <w:rPr/>
        <w:drawing>
          <wp:inline distT="0" distB="0" distL="0" distR="0">
            <wp:extent cx="5731510" cy="603250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7"/>
                    <a:stretch>
                      <a:fillRect/>
                    </a:stretch>
                  </pic:blipFill>
                  <pic:spPr bwMode="auto">
                    <a:xfrm>
                      <a:off x="0" y="0"/>
                      <a:ext cx="5731510" cy="6032500"/>
                    </a:xfrm>
                    <a:prstGeom prst="rect">
                      <a:avLst/>
                    </a:prstGeom>
                    <a:noFill/>
                  </pic:spPr>
                </pic:pic>
              </a:graphicData>
            </a:graphic>
          </wp:inline>
        </w:drawing>
      </w:r>
    </w:p>
    <w:p>
      <w:pPr>
        <w:pStyle w:val="Heading3"/>
        <w:rPr>
          <w:rFonts w:ascii="Lato" w:hAnsi="Lato" w:eastAsia="Lato" w:cs="Lato"/>
        </w:rPr>
      </w:pPr>
      <w:bookmarkStart w:id="13" w:name="_sguesz5nfvmv"/>
      <w:bookmarkEnd w:id="13"/>
      <w:r>
        <w:rPr>
          <w:rFonts w:eastAsia="Lato" w:cs="Lato" w:ascii="Lato" w:hAnsi="Lato"/>
        </w:rPr>
        <w:t>2. Core Technical Components</w:t>
      </w:r>
    </w:p>
    <w:p>
      <w:pPr>
        <w:pStyle w:val="Heading4"/>
        <w:rPr>
          <w:rFonts w:ascii="Lato" w:hAnsi="Lato" w:eastAsia="Lato" w:cs="Lato"/>
        </w:rPr>
      </w:pPr>
      <w:bookmarkStart w:id="14" w:name="_pi1jkevhfz2p"/>
      <w:bookmarkEnd w:id="14"/>
      <w:r>
        <w:rPr>
          <w:rFonts w:eastAsia="Lato" w:cs="Lato" w:ascii="Lato" w:hAnsi="Lato"/>
        </w:rPr>
        <w:t>A. Adversarial Attack Generator (AAG)</w:t>
      </w:r>
    </w:p>
    <w:p>
      <w:pPr>
        <w:pStyle w:val="normal1"/>
        <w:rPr>
          <w:rFonts w:ascii="Lato" w:hAnsi="Lato" w:eastAsia="Lato" w:cs="Lato"/>
        </w:rPr>
      </w:pPr>
      <w:r>
        <w:rPr>
          <w:rFonts w:eastAsia="Lato" w:cs="Lato" w:ascii="Lato" w:hAnsi="Lato"/>
          <w:b/>
        </w:rPr>
        <w:t>Multi-Modal Attack Generation:</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Cognitive Attacks</w:t>
      </w:r>
      <w:r>
        <w:rPr>
          <w:rFonts w:eastAsia="Lato" w:cs="Lato" w:ascii="Lato" w:hAnsi="Lato"/>
        </w:rPr>
        <w:t>: Goal manipulation, memory injection, reasoning subversion</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Behavioral Attacks</w:t>
      </w:r>
      <w:r>
        <w:rPr>
          <w:rFonts w:eastAsia="Lato" w:cs="Lato" w:ascii="Lato" w:hAnsi="Lato"/>
        </w:rPr>
        <w:t>: Action sequence manipulation, workflow hijacking</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Protocol Attacks</w:t>
      </w:r>
      <w:r>
        <w:rPr>
          <w:rFonts w:eastAsia="Lato" w:cs="Lato" w:ascii="Lato" w:hAnsi="Lato"/>
        </w:rPr>
        <w:t>: A2A message tampering, MCP server exploitation</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Temporal Attacks</w:t>
      </w:r>
      <w:r>
        <w:rPr>
          <w:rFonts w:eastAsia="Lato" w:cs="Lato" w:ascii="Lato" w:hAnsi="Lato"/>
        </w:rPr>
        <w:t>: Long-term behavioral drift, session persistence exploitation</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Heading4"/>
        <w:rPr>
          <w:rFonts w:ascii="Lato" w:hAnsi="Lato" w:eastAsia="Lato" w:cs="Lato"/>
        </w:rPr>
      </w:pPr>
      <w:bookmarkStart w:id="15" w:name="_uqv0k45fdjqs"/>
      <w:bookmarkEnd w:id="15"/>
      <w:r>
        <w:rPr>
          <w:rFonts w:eastAsia="Lato" w:cs="Lato" w:ascii="Lato" w:hAnsi="Lato"/>
        </w:rPr>
        <w:t>B. Behavioral Analysis Engine</w:t>
      </w:r>
    </w:p>
    <w:p>
      <w:pPr>
        <w:pStyle w:val="Heading4"/>
        <w:rPr>
          <w:rFonts w:ascii="Lato" w:hAnsi="Lato" w:eastAsia="Lato" w:cs="Lato"/>
        </w:rPr>
      </w:pPr>
      <w:bookmarkStart w:id="16" w:name="_7156twd6uxk6"/>
      <w:bookmarkEnd w:id="16"/>
      <w:r>
        <w:rPr>
          <w:rFonts w:eastAsia="Lato" w:cs="Lato" w:ascii="Lato" w:hAnsi="Lato"/>
        </w:rPr>
        <w:t>C. Protocol-Aware Testing Framework</w:t>
      </w:r>
    </w:p>
    <w:p>
      <w:pPr>
        <w:pStyle w:val="Heading2"/>
        <w:rPr>
          <w:rFonts w:ascii="Lato" w:hAnsi="Lato" w:eastAsia="Lato" w:cs="Lato"/>
        </w:rPr>
      </w:pPr>
      <w:bookmarkStart w:id="17" w:name="_uieggd52wy2q"/>
      <w:bookmarkEnd w:id="17"/>
      <w:r>
        <w:rPr>
          <w:rFonts w:eastAsia="Lato" w:cs="Lato" w:ascii="Lato" w:hAnsi="Lato"/>
        </w:rPr>
        <w:t>Expected Outcomes and Success Criteria</w:t>
      </w:r>
    </w:p>
    <w:p>
      <w:pPr>
        <w:pStyle w:val="Heading3"/>
        <w:rPr>
          <w:rFonts w:ascii="Lato" w:hAnsi="Lato" w:eastAsia="Lato" w:cs="Lato"/>
        </w:rPr>
      </w:pPr>
      <w:bookmarkStart w:id="18" w:name="_gizf81b39rg0"/>
      <w:bookmarkEnd w:id="18"/>
      <w:r>
        <w:rPr>
          <w:rFonts w:eastAsia="Lato" w:cs="Lato" w:ascii="Lato" w:hAnsi="Lato"/>
        </w:rPr>
        <w:t>1. Quantitative Success Metrics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Coverage</w:t>
      </w:r>
      <w:r>
        <w:rPr>
          <w:rFonts w:eastAsia="Lato" w:cs="Lato" w:ascii="Lato" w:hAnsi="Lato"/>
        </w:rPr>
        <w:t>: &gt;95% of agent behavioral states tested</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Detection</w:t>
      </w:r>
      <w:r>
        <w:rPr>
          <w:rFonts w:eastAsia="Lato" w:cs="Lato" w:ascii="Lato" w:hAnsi="Lato"/>
        </w:rPr>
        <w:t>: &lt;2% false positive rate for behavioral anomalies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Performance</w:t>
      </w:r>
      <w:r>
        <w:rPr>
          <w:rFonts w:eastAsia="Lato" w:cs="Lato" w:ascii="Lato" w:hAnsi="Lato"/>
        </w:rPr>
        <w:t>: Real-time analysis with &lt;100ms latency</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Scalability</w:t>
      </w:r>
      <w:r>
        <w:rPr>
          <w:rFonts w:eastAsia="Lato" w:cs="Lato" w:ascii="Lato" w:hAnsi="Lato"/>
        </w:rPr>
        <w:t>: Support for 1000+ concurrent agent testing</w:t>
      </w:r>
    </w:p>
    <w:p>
      <w:pPr>
        <w:pStyle w:val="Heading3"/>
        <w:rPr>
          <w:rFonts w:ascii="Lato" w:hAnsi="Lato" w:eastAsia="Lato" w:cs="Lato"/>
        </w:rPr>
      </w:pPr>
      <w:bookmarkStart w:id="19" w:name="_a03ib0zfrv10"/>
      <w:bookmarkEnd w:id="19"/>
      <w:r>
        <w:rPr>
          <w:rFonts w:eastAsia="Lato" w:cs="Lato" w:ascii="Lato" w:hAnsi="Lato"/>
        </w:rPr>
        <w:t>2. Qualitative Success Criteria</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Behavioral Understanding</w:t>
      </w:r>
      <w:r>
        <w:rPr>
          <w:rFonts w:eastAsia="Lato" w:cs="Lato" w:ascii="Lato" w:hAnsi="Lato"/>
        </w:rPr>
        <w:t>: Clear visualization of agent decision patterns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Attack Chain Mapping</w:t>
      </w:r>
      <w:r>
        <w:rPr>
          <w:rFonts w:eastAsia="Lato" w:cs="Lato" w:ascii="Lato" w:hAnsi="Lato"/>
        </w:rPr>
        <w:t>: Complete traceability of multi-step vulnerabilities</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Protocol Compliance</w:t>
      </w:r>
      <w:r>
        <w:rPr>
          <w:rFonts w:eastAsia="Lato" w:cs="Lato" w:ascii="Lato" w:hAnsi="Lato"/>
        </w:rPr>
        <w:t>: Comprehensive A2A and MCP security validation</w:t>
      </w:r>
    </w:p>
    <w:p>
      <w:pPr>
        <w:pStyle w:val="normal1"/>
        <w:numPr>
          <w:ilvl w:val="0"/>
          <w:numId w:val="2"/>
        </w:numPr>
        <w:ind w:hanging="360" w:star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Lato" w:cs="Lato" w:ascii="Lato" w:hAnsi="Lato"/>
          <w:b/>
        </w:rPr>
        <w:t>Enterprise Integration</w:t>
      </w:r>
      <w:r>
        <w:rPr>
          <w:rFonts w:eastAsia="Lato" w:cs="Lato" w:ascii="Lato" w:hAnsi="Lato"/>
        </w:rPr>
        <w:t>: Seamless deployment in existing security workflows</w:t>
      </w:r>
    </w:p>
    <w:p>
      <w:pPr>
        <w:pStyle w:val="Heading2"/>
        <w:rPr>
          <w:rFonts w:ascii="Lato" w:hAnsi="Lato" w:eastAsia="Lato" w:cs="Lato"/>
        </w:rPr>
      </w:pPr>
      <w:bookmarkStart w:id="20" w:name="_awomatl3m3ut"/>
      <w:bookmarkEnd w:id="20"/>
      <w:r>
        <w:rPr>
          <w:rFonts w:eastAsia="Lato" w:cs="Lato" w:ascii="Lato" w:hAnsi="Lato"/>
        </w:rPr>
        <w:t>Conclusion</w:t>
      </w:r>
    </w:p>
    <w:p>
      <w:pPr>
        <w:pStyle w:val="normal1"/>
        <w:rPr>
          <w:rFonts w:ascii="Lato" w:hAnsi="Lato" w:eastAsia="Lato" w:cs="Lato"/>
        </w:rPr>
      </w:pPr>
      <w:r>
        <w:rPr>
          <w:rFonts w:eastAsia="Lato" w:cs="Lato" w:ascii="Lato" w:hAnsi="Lato"/>
        </w:rPr>
        <w:t>The proposed Comprehensive Agent Red Teaming Platform (CARTP) addresses the fundamental inadequacies of traditional security testing when applied to autonomous AI agents. By focusing on behavioral analysis, protocol-aware testing, and multi-dimensional threat assessment, CARTP provides enterprises with the capabilities needed to secure next-generation agentic AI systems.</w:t>
      </w:r>
    </w:p>
    <w:p>
      <w:pPr>
        <w:pStyle w:val="normal1"/>
        <w:keepNext w:val="false"/>
        <w:keepLines w:val="false"/>
        <w:pageBreakBefore w:val="false"/>
        <w:widowControl/>
        <w:pBdr/>
        <w:spacing w:lineRule="auto" w:line="276" w:before="0" w:after="0"/>
        <w:ind w:hanging="0" w:start="0" w:end="0"/>
        <w:jc w:val="start"/>
        <w:rPr>
          <w:rFonts w:ascii="Lato" w:hAnsi="Lato" w:eastAsia="Lato" w:cs="Lato"/>
        </w:rPr>
      </w:pPr>
      <w:r>
        <w:rPr>
          <w:rFonts w:eastAsia="Lato" w:cs="Lato" w:ascii="Lato" w:hAnsi="Lato"/>
        </w:rPr>
      </w:r>
    </w:p>
    <w:p>
      <w:pPr>
        <w:pStyle w:val="normal1"/>
        <w:rPr>
          <w:rFonts w:ascii="Lato" w:hAnsi="Lato" w:eastAsia="Lato" w:cs="Lato"/>
        </w:rPr>
      </w:pPr>
      <w:r>
        <w:rPr>
          <w:rFonts w:eastAsia="Lato" w:cs="Lato" w:ascii="Lato" w:hAnsi="Lato"/>
        </w:rPr>
        <w:t>The technical architecture emphasizes real-time monitoring, automated attack generation, and comprehensive behavioral modeling to address the unique challenges of testing systems that think, plan, and act autonomously. Through systematic implementation of this framework, organizations can confidently deploy AI agents while maintaining robust security postures in an increasingly complex threat landscape.</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at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Nova Mono">
    <w:charset w:val="01" w:characterSet="utf-8"/>
    <w:family w:val="roman"/>
    <w:pitch w:val="variable"/>
  </w:font>
  <w:font w:name="Arial">
    <w:charset w:val="01"/>
    <w:family w:val="swiss"/>
    <w:pitch w:val="default"/>
  </w:font>
  <w:font w:name="OpenSymbol">
    <w:altName w:val="Arial Unicode MS"/>
    <w:charset w:val="01"/>
    <w:family w:val="auto"/>
    <w:pitch w:val="default"/>
    <w:embedRegular r:id="rId13" w:fontKey="{0D014A78-CABC-4EF0-12AC-5CD89AEFDE0D}"/>
    <w:embedBold r:id="rId14" w:fontKey="{0E014A78-CABC-4EF0-12AC-5CD89AEFDE0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num w:numId="1">
    <w:abstractNumId w:val="1"/>
  </w:num>
  <w:num w:numId="2">
    <w:abstractNumId w:val="2"/>
  </w:num>
</w:numbering>
</file>

<file path=word/settings.xml><?xml version="1.0" encoding="utf-8"?>
<w:settings xmlns:w="http://schemas.openxmlformats.org/wordprocessingml/2006/main">
  <w:zoom w:percent="243"/>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widowControl/>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TotalTime>
  <Application>LibreOffice/25.8.2.2$Linux_X86_64 LibreOffice_project/580$Build-2</Application>
  <AppVersion>15.0000</AppVersion>
  <Pages>5</Pages>
  <Words>527</Words>
  <Characters>3584</Characters>
  <CharactersWithSpaces>4023</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2025-11-05T21:56:01Z</dcterms:modified>
  <cp:revision>2</cp:revision>
  <dc:subject/>
  <dc:title/>
</cp:coreProperties>
</file>