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Cleaning Plan v1</w:t>
      </w:r>
    </w:p>
    <w:p>
      <w:r>
        <w:t xml:space="preserve"/>
      </w:r>
    </w:p>
    <w:p>
      <w:r>
        <w:t xml:space="preserve">Status: Frozen  </w:t>
      </w:r>
    </w:p>
    <w:p>
      <w:r>
        <w:t xml:space="preserve">Scope: Raw road-accident extracts loaded into accident, casualty, and vehicle tables.  </w:t>
      </w:r>
    </w:p>
    <w:p>
      <w:r>
        <w:t xml:space="preserve">Evidence note: No source extract or data dictionary is currently present in this repository. The rules below are the approved baseline; run the profiling gate before applying them and record observed counts in the cleaning log.</w:t>
      </w:r>
    </w:p>
    <w:p>
      <w:r>
        <w:t xml:space="preserve"/>
      </w:r>
    </w:p>
    <w:p>
      <w:pPr>
        <w:pStyle w:val="Heading1"/>
      </w:pPr>
      <w:r>
        <w:t xml:space="preserve">Operating rules</w:t>
      </w:r>
    </w:p>
    <w:p>
      <w:r>
        <w:t xml:space="preserve"/>
      </w:r>
    </w:p>
    <w:p>
      <w:r>
        <w:t xml:space="preserve">1. Preserve the raw file unchanged. Produce a cleaned, versioned output and an audit log containing input row count, output row count, rejected rows, duplicate count, and missing-value counts before and after cleaning.</w:t>
      </w:r>
    </w:p>
    <w:p>
      <w:r>
        <w:t xml:space="preserve">2. Convert blank strings, whitespace-only values, NULL, N/A, NA, Unknown, Not known, -1, and 999 to a single null representation only where the source data dictionary identifies them as missing/unknown. Do not recode a valid code without that confirmation.</w:t>
      </w:r>
    </w:p>
    <w:p>
      <w:r>
        <w:t xml:space="preserve">3. Standardise text by trimming whitespace, collapsing repeated spaces, and normalising case for matching. Store display labels in title case and retain source-code columns where available.</w:t>
      </w:r>
    </w:p>
    <w:p>
      <w:r>
        <w:t xml:space="preserve">4. Quarantine rows that fail key, date/time, or impossible-range checks. Do not silently delete them.</w:t>
      </w:r>
    </w:p>
    <w:p>
      <w:r>
        <w:t xml:space="preserve">5. Calculate duplicate rules separately for each grain: accident, casualty, and vehicle. Keep the most complete record; if tied, keep the earliest ingested record. Log every removed duplicate.</w:t>
      </w:r>
    </w:p>
    <w:p>
      <w:r>
        <w:t xml:space="preserve"/>
      </w:r>
    </w:p>
    <w:p>
      <w:pPr>
        <w:pStyle w:val="Heading1"/>
      </w:pPr>
      <w:r>
        <w:t xml:space="preserve">Column-level decisions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800" w:type="dxa"/>
          </w:tcPr>
          <w:p>
            <w:r>
              <w:rPr>
                <w:b/>
              </w:rPr>
              <w:t xml:space="preserve">Field(s)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Type fix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Missing-value rule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Duplicate / validity rule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Category harmonisation</w:t>
            </w:r>
          </w:p>
        </w:tc>
      </w:tr>
      <w:tr>
        <w:tc>
          <w:tcPr>
            <w:tcW w:w="1800" w:type="dxa"/>
          </w:tcPr>
          <w:p>
            <w:r>
              <w:t xml:space="preserve">Accident_Index / Accident_ID</w:t>
            </w:r>
          </w:p>
        </w:tc>
        <w:tc>
          <w:tcPr>
            <w:tcW w:w="1800" w:type="dxa"/>
          </w:tcPr>
          <w:p>
            <w:r>
              <w:t xml:space="preserve">String; trim; preserve leading zeroes</w:t>
            </w:r>
          </w:p>
        </w:tc>
        <w:tc>
          <w:tcPr>
            <w:tcW w:w="1800" w:type="dxa"/>
          </w:tcPr>
          <w:p>
            <w:r>
              <w:t xml:space="preserve">Drop/quarantine row if null or blank</w:t>
            </w:r>
          </w:p>
        </w:tc>
        <w:tc>
          <w:tcPr>
            <w:tcW w:w="1800" w:type="dxa"/>
          </w:tcPr>
          <w:p>
            <w:r>
              <w:t xml:space="preserve">Accident table: unique key. Exact duplicate key: keep most complete record. Conflicting duplicate key: quarantine.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Vehicle_Reference, Casualty_Reference</w:t>
            </w:r>
          </w:p>
        </w:tc>
        <w:tc>
          <w:tcPr>
            <w:tcW w:w="1800" w:type="dxa"/>
          </w:tcPr>
          <w:p>
            <w:r>
              <w:t xml:space="preserve">Nullable integer</w:t>
            </w:r>
          </w:p>
        </w:tc>
        <w:tc>
          <w:tcPr>
            <w:tcW w:w="1800" w:type="dxa"/>
          </w:tcPr>
          <w:p>
            <w:r>
              <w:t xml:space="preserve">Null is permitted only when the table grain does not require it; otherwise quarantine</w:t>
            </w:r>
          </w:p>
        </w:tc>
        <w:tc>
          <w:tcPr>
            <w:tcW w:w="1800" w:type="dxa"/>
          </w:tcPr>
          <w:p>
            <w:r>
              <w:t xml:space="preserve">Unique with Accident_ID at its table grain; duplicate composite keys handled by operating rule 5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Accident Date / Date</w:t>
            </w:r>
          </w:p>
        </w:tc>
        <w:tc>
          <w:tcPr>
            <w:tcW w:w="1800" w:type="dxa"/>
          </w:tcPr>
          <w:p>
            <w:r>
              <w:t xml:space="preserve">Parse to ISO date using documented source locale; retain raw value</w:t>
            </w:r>
          </w:p>
        </w:tc>
        <w:tc>
          <w:tcPr>
            <w:tcW w:w="1800" w:type="dxa"/>
          </w:tcPr>
          <w:p>
            <w:r>
              <w:t xml:space="preserve">Quarantine if null or unparsable</w:t>
            </w:r>
          </w:p>
        </w:tc>
        <w:tc>
          <w:tcPr>
            <w:tcW w:w="1800" w:type="dxa"/>
          </w:tcPr>
          <w:p>
            <w:r>
              <w:t xml:space="preserve">Quarantine dates outside documented coverage or future dates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Time</w:t>
            </w:r>
          </w:p>
        </w:tc>
        <w:tc>
          <w:tcPr>
            <w:tcW w:w="1800" w:type="dxa"/>
          </w:tcPr>
          <w:p>
            <w:r>
              <w:t xml:space="preserve">Parse to 24-hour time (HH:MM)</w:t>
            </w:r>
          </w:p>
        </w:tc>
        <w:tc>
          <w:tcPr>
            <w:tcW w:w="1800" w:type="dxa"/>
          </w:tcPr>
          <w:p>
            <w:r>
              <w:t xml:space="preserve">Keep null as time_unknown; do not impute</w:t>
            </w:r>
          </w:p>
        </w:tc>
        <w:tc>
          <w:tcPr>
            <w:tcW w:w="1800" w:type="dxa"/>
          </w:tcPr>
          <w:p>
            <w:r>
              <w:t xml:space="preserve">Quarantine unparsable values; validate 00:00â€“23:59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Day_of_Week</w:t>
            </w:r>
          </w:p>
        </w:tc>
        <w:tc>
          <w:tcPr>
            <w:tcW w:w="1800" w:type="dxa"/>
          </w:tcPr>
          <w:p>
            <w:r>
              <w:t xml:space="preserve">Integer code plus canonical label</w:t>
            </w:r>
          </w:p>
        </w:tc>
        <w:tc>
          <w:tcPr>
            <w:tcW w:w="1800" w:type="dxa"/>
          </w:tcPr>
          <w:p>
            <w:r>
              <w:t xml:space="preserve">Keep null as day_unknown; do not impute</w:t>
            </w:r>
          </w:p>
        </w:tc>
        <w:tc>
          <w:tcPr>
            <w:tcW w:w="1800" w:type="dxa"/>
          </w:tcPr>
          <w:p>
            <w:r>
              <w:t xml:space="preserve">Where both date and day exist, regenerate/flag mismatch; date-derived value is authoritative</w:t>
            </w:r>
          </w:p>
        </w:tc>
        <w:tc>
          <w:tcPr>
            <w:tcW w:w="1800" w:type="dxa"/>
          </w:tcPr>
          <w:p>
            <w:r>
              <w:t xml:space="preserve">Map code/variants to Mondayâ€“Sunday</w:t>
            </w:r>
          </w:p>
        </w:tc>
      </w:tr>
      <w:tr>
        <w:tc>
          <w:tcPr>
            <w:tcW w:w="1800" w:type="dxa"/>
          </w:tcPr>
          <w:p>
            <w:r>
              <w:t xml:space="preserve">Year, Month</w:t>
            </w:r>
          </w:p>
        </w:tc>
        <w:tc>
          <w:tcPr>
            <w:tcW w:w="1800" w:type="dxa"/>
          </w:tcPr>
          <w:p>
            <w:r>
              <w:t xml:space="preserve">Integer (Year), integer 1â€“12 (Month)</w:t>
            </w:r>
          </w:p>
        </w:tc>
        <w:tc>
          <w:tcPr>
            <w:tcW w:w="1800" w:type="dxa"/>
          </w:tcPr>
          <w:p>
            <w:r>
              <w:t xml:space="preserve">Derive from valid date when missing; otherwise retain null</w:t>
            </w:r>
          </w:p>
        </w:tc>
        <w:tc>
          <w:tcPr>
            <w:tcW w:w="1800" w:type="dxa"/>
          </w:tcPr>
          <w:p>
            <w:r>
              <w:t xml:space="preserve">Quarantine impossible values; flag mismatch against date</w:t>
            </w:r>
          </w:p>
        </w:tc>
        <w:tc>
          <w:tcPr>
            <w:tcW w:w="1800" w:type="dxa"/>
          </w:tcPr>
          <w:p>
            <w:r>
              <w:t xml:space="preserve">Month labels â†’ 1â€“12 plus canonical English label</w:t>
            </w:r>
          </w:p>
        </w:tc>
      </w:tr>
      <w:tr>
        <w:tc>
          <w:tcPr>
            <w:tcW w:w="1800" w:type="dxa"/>
          </w:tcPr>
          <w:p>
            <w:r>
              <w:t xml:space="preserve">Latitude, Longitude, Easting, Northing</w:t>
            </w:r>
          </w:p>
        </w:tc>
        <w:tc>
          <w:tcPr>
            <w:tcW w:w="1800" w:type="dxa"/>
          </w:tcPr>
          <w:p>
            <w:r>
              <w:t xml:space="preserve">Decimal numeric</w:t>
            </w:r>
          </w:p>
        </w:tc>
        <w:tc>
          <w:tcPr>
            <w:tcW w:w="1800" w:type="dxa"/>
          </w:tcPr>
          <w:p>
            <w:r>
              <w:t xml:space="preserve">Keep null; no geographic imputation</w:t>
            </w:r>
          </w:p>
        </w:tc>
        <w:tc>
          <w:tcPr>
            <w:tcW w:w="1800" w:type="dxa"/>
          </w:tcPr>
          <w:p>
            <w:r>
              <w:t xml:space="preserve">Quarantine nonnumeric or out-of-bound coordinates for the documented geography; retain only valid coordinate pairs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Police_Force, Local_Authority_(District), Local_Authority_(Highway), LSOA_of_Accident_Location</w:t>
            </w:r>
          </w:p>
        </w:tc>
        <w:tc>
          <w:tcPr>
            <w:tcW w:w="1800" w:type="dxa"/>
          </w:tcPr>
          <w:p>
            <w:r>
              <w:t xml:space="preserve">String/code; preserve code leading zeroes</w:t>
            </w:r>
          </w:p>
        </w:tc>
        <w:tc>
          <w:tcPr>
            <w:tcW w:w="1800" w:type="dxa"/>
          </w:tcPr>
          <w:p>
            <w:r>
              <w:t xml:space="preserve">Keep null as area_unknown; do not impute</w:t>
            </w:r>
          </w:p>
        </w:tc>
        <w:tc>
          <w:tcPr>
            <w:tcW w:w="1800" w:type="dxa"/>
          </w:tcPr>
          <w:p>
            <w:r>
              <w:t xml:space="preserve">Flag codes absent from the reference lookup; do not discard valid accidents solely for missing area</w:t>
            </w:r>
          </w:p>
        </w:tc>
        <w:tc>
          <w:tcPr>
            <w:tcW w:w="1800" w:type="dxa"/>
          </w:tcPr>
          <w:p>
            <w:r>
              <w:t xml:space="preserve">Trim; map only through an approved lookup; use Unknown as display label</w:t>
            </w:r>
          </w:p>
        </w:tc>
      </w:tr>
      <w:tr>
        <w:tc>
          <w:tcPr>
            <w:tcW w:w="1800" w:type="dxa"/>
          </w:tcPr>
          <w:p>
            <w:r>
              <w:t xml:space="preserve">Accident_Severity, Casualty_Severity</w:t>
            </w:r>
          </w:p>
        </w:tc>
        <w:tc>
          <w:tcPr>
            <w:tcW w:w="1800" w:type="dxa"/>
          </w:tcPr>
          <w:p>
            <w:r>
              <w:t xml:space="preserve">Ordered categorical; retain numeric source code when supplied</w:t>
            </w:r>
          </w:p>
        </w:tc>
        <w:tc>
          <w:tcPr>
            <w:tcW w:w="1800" w:type="dxa"/>
          </w:tcPr>
          <w:p>
            <w:r>
              <w:t xml:space="preserve">Keep null as severity_unknown; do not impute</w:t>
            </w:r>
          </w:p>
        </w:tc>
        <w:tc>
          <w:tcPr>
            <w:tcW w:w="1800" w:type="dxa"/>
          </w:tcPr>
          <w:p>
            <w:r>
              <w:t xml:space="preserve">Flag codes outside approved lookup</w:t>
            </w:r>
          </w:p>
        </w:tc>
        <w:tc>
          <w:tcPr>
            <w:tcW w:w="1800" w:type="dxa"/>
          </w:tcPr>
          <w:p>
            <w:r>
              <w:t xml:space="preserve">Canonical labels: Fatal, Serious, Slight, Unknown; map synonyms/case variants via lookup</w:t>
            </w:r>
          </w:p>
        </w:tc>
      </w:tr>
      <w:tr>
        <w:tc>
          <w:tcPr>
            <w:tcW w:w="1800" w:type="dxa"/>
          </w:tcPr>
          <w:p>
            <w:r>
              <w:t xml:space="preserve">Number_of_Vehicles, Number_of_Casualties</w:t>
            </w:r>
          </w:p>
        </w:tc>
        <w:tc>
          <w:tcPr>
            <w:tcW w:w="1800" w:type="dxa"/>
          </w:tcPr>
          <w:p>
            <w:r>
              <w:t xml:space="preserve">Non-negative integer</w:t>
            </w:r>
          </w:p>
        </w:tc>
        <w:tc>
          <w:tcPr>
            <w:tcW w:w="1800" w:type="dxa"/>
          </w:tcPr>
          <w:p>
            <w:r>
              <w:t xml:space="preserve">Keep null; do not impute</w:t>
            </w:r>
          </w:p>
        </w:tc>
        <w:tc>
          <w:tcPr>
            <w:tcW w:w="1800" w:type="dxa"/>
          </w:tcPr>
          <w:p>
            <w:r>
              <w:t xml:space="preserve">Quarantine negative/noninteger values; flag mismatch against linked vehicle/casualty row counts (do not overwrite without source-of-truth decision)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Speed_limit</w:t>
            </w:r>
          </w:p>
        </w:tc>
        <w:tc>
          <w:tcPr>
            <w:tcW w:w="1800" w:type="dxa"/>
          </w:tcPr>
          <w:p>
            <w:r>
              <w:t xml:space="preserve">Integer mph (or documented unit)</w:t>
            </w:r>
          </w:p>
        </w:tc>
        <w:tc>
          <w:tcPr>
            <w:tcW w:w="1800" w:type="dxa"/>
          </w:tcPr>
          <w:p>
            <w:r>
              <w:t xml:space="preserve">Keep null; do not impute</w:t>
            </w:r>
          </w:p>
        </w:tc>
        <w:tc>
          <w:tcPr>
            <w:tcW w:w="1800" w:type="dxa"/>
          </w:tcPr>
          <w:p>
            <w:r>
              <w:t xml:space="preserve">Quarantine nonnumeric, &lt;=0, or values outside documented jurisdictional range</w:t>
            </w:r>
          </w:p>
        </w:tc>
        <w:tc>
          <w:tcPr>
            <w:tcW w:w="1800" w:type="dxa"/>
          </w:tcPr>
          <w:p>
            <w:r>
              <w:t xml:space="preserve">Convert unit only when metadata specifies a different source unit; record unit</w:t>
            </w:r>
          </w:p>
        </w:tc>
      </w:tr>
      <w:tr>
        <w:tc>
          <w:tcPr>
            <w:tcW w:w="1800" w:type="dxa"/>
          </w:tcPr>
          <w:p>
            <w:r>
              <w:t xml:space="preserve">Road_Type, Road_Surface_Conditions, Carriageway_Hazards, Junction_Control, Junction_Detail, Light_Conditions, Weather_Conditions, Special_Conditions_at_Site, Pedestrian_Crossing-Human_Control, Pedestrian_Crossing-Physical_Facilities</w:t>
            </w:r>
          </w:p>
        </w:tc>
        <w:tc>
          <w:tcPr>
            <w:tcW w:w="1800" w:type="dxa"/>
          </w:tcPr>
          <w:p>
            <w:r>
              <w:t xml:space="preserve">Categorical string/code</w:t>
            </w:r>
          </w:p>
        </w:tc>
        <w:tc>
          <w:tcPr>
            <w:tcW w:w="1800" w:type="dxa"/>
          </w:tcPr>
          <w:p>
            <w:r>
              <w:t xml:space="preserve">Keep null as Unknown; do not impute</w:t>
            </w:r>
          </w:p>
        </w:tc>
        <w:tc>
          <w:tcPr>
            <w:tcW w:w="1800" w:type="dxa"/>
          </w:tcPr>
          <w:p>
            <w:r>
              <w:t xml:space="preserve">Flag unmapped values for review</w:t>
            </w:r>
          </w:p>
        </w:tc>
        <w:tc>
          <w:tcPr>
            <w:tcW w:w="1800" w:type="dxa"/>
          </w:tcPr>
          <w:p>
            <w:r>
              <w:t xml:space="preserve">Trim/case-normalise; map spelling, punctuation and documented code variants through a versioned lookup; never merge materially distinct categories</w:t>
            </w:r>
          </w:p>
        </w:tc>
      </w:tr>
      <w:tr>
        <w:tc>
          <w:tcPr>
            <w:tcW w:w="1800" w:type="dxa"/>
          </w:tcPr>
          <w:p>
            <w:r>
              <w:t xml:space="preserve">Urban_or_Rural_Area</w:t>
            </w:r>
          </w:p>
        </w:tc>
        <w:tc>
          <w:tcPr>
            <w:tcW w:w="1800" w:type="dxa"/>
          </w:tcPr>
          <w:p>
            <w:r>
              <w:t xml:space="preserve">Categorical string/code</w:t>
            </w:r>
          </w:p>
        </w:tc>
        <w:tc>
          <w:tcPr>
            <w:tcW w:w="1800" w:type="dxa"/>
          </w:tcPr>
          <w:p>
            <w:r>
              <w:t xml:space="preserve">Keep null as Unknown; do not impute</w:t>
            </w:r>
          </w:p>
        </w:tc>
        <w:tc>
          <w:tcPr>
            <w:tcW w:w="1800" w:type="dxa"/>
          </w:tcPr>
          <w:p>
            <w:r>
              <w:t xml:space="preserve">Flag unmapped values</w:t>
            </w:r>
          </w:p>
        </w:tc>
        <w:tc>
          <w:tcPr>
            <w:tcW w:w="1800" w:type="dxa"/>
          </w:tcPr>
          <w:p>
            <w:r>
              <w:t xml:space="preserve">Map to Urban, Rural, Unknown</w:t>
            </w:r>
          </w:p>
        </w:tc>
      </w:tr>
      <w:tr>
        <w:tc>
          <w:tcPr>
            <w:tcW w:w="1800" w:type="dxa"/>
          </w:tcPr>
          <w:p>
            <w:r>
              <w:t xml:space="preserve">Vehicle_Type, Vehicle_Manoeuvre, Vehicle_Location-Restricted_Lane, Hit_Object_in_Carriageway, Hit_Object_off_Carriageway, Skidding_and_Overturning, Vehicle_Leaving_Carriageway, 1st_Point_of_Impact, Journey_Purpose_of_Driver, Towing_and_Articulation, Was_Vehicle_Left_Hand_Drive?</w:t>
            </w:r>
          </w:p>
        </w:tc>
        <w:tc>
          <w:tcPr>
            <w:tcW w:w="1800" w:type="dxa"/>
          </w:tcPr>
          <w:p>
            <w:r>
              <w:t xml:space="preserve">Categorical string/code</w:t>
            </w:r>
          </w:p>
        </w:tc>
        <w:tc>
          <w:tcPr>
            <w:tcW w:w="1800" w:type="dxa"/>
          </w:tcPr>
          <w:p>
            <w:r>
              <w:t xml:space="preserve">Keep null as Unknown; do not impute</w:t>
            </w:r>
          </w:p>
        </w:tc>
        <w:tc>
          <w:tcPr>
            <w:tcW w:w="1800" w:type="dxa"/>
          </w:tcPr>
          <w:p>
            <w:r>
              <w:t xml:space="preserve">Flag unmapped values</w:t>
            </w:r>
          </w:p>
        </w:tc>
        <w:tc>
          <w:tcPr>
            <w:tcW w:w="1800" w:type="dxa"/>
          </w:tcPr>
          <w:p>
            <w:r>
              <w:t xml:space="preserve">Use approved vehicle lookup; normalise yes/no to Yes, No, Unknown</w:t>
            </w:r>
          </w:p>
        </w:tc>
      </w:tr>
      <w:tr>
        <w:tc>
          <w:tcPr>
            <w:tcW w:w="1800" w:type="dxa"/>
          </w:tcPr>
          <w:p>
            <w:r>
              <w:t xml:space="preserve">Sex_of_Driver, Sex_of_Casualty, Pedestrian_Location, Pedestrian_Movement, Pedestrian_Road_Maintenance_Worker</w:t>
            </w:r>
          </w:p>
        </w:tc>
        <w:tc>
          <w:tcPr>
            <w:tcW w:w="1800" w:type="dxa"/>
          </w:tcPr>
          <w:p>
            <w:r>
              <w:t xml:space="preserve">Categorical string/code</w:t>
            </w:r>
          </w:p>
        </w:tc>
        <w:tc>
          <w:tcPr>
            <w:tcW w:w="1800" w:type="dxa"/>
          </w:tcPr>
          <w:p>
            <w:r>
              <w:t xml:space="preserve">Keep null as Unknown; do not infer</w:t>
            </w:r>
          </w:p>
        </w:tc>
        <w:tc>
          <w:tcPr>
            <w:tcW w:w="1800" w:type="dxa"/>
          </w:tcPr>
          <w:p>
            <w:r>
              <w:t xml:space="preserve">Flag unmapped values</w:t>
            </w:r>
          </w:p>
        </w:tc>
        <w:tc>
          <w:tcPr>
            <w:tcW w:w="1800" w:type="dxa"/>
          </w:tcPr>
          <w:p>
            <w:r>
              <w:t xml:space="preserve">Canonicalise documented labels only; retain Unknown rather than guessing identity</w:t>
            </w:r>
          </w:p>
        </w:tc>
      </w:tr>
      <w:tr>
        <w:tc>
          <w:tcPr>
            <w:tcW w:w="1800" w:type="dxa"/>
          </w:tcPr>
          <w:p>
            <w:r>
              <w:t xml:space="preserve">Age_of_Driver, Age_of_Casualty, Age_Band_of_Driver, Age_Band_of_Casualty</w:t>
            </w:r>
          </w:p>
        </w:tc>
        <w:tc>
          <w:tcPr>
            <w:tcW w:w="1800" w:type="dxa"/>
          </w:tcPr>
          <w:p>
            <w:r>
              <w:t xml:space="preserve">Age: nullable integer; band: ordered categorical</w:t>
            </w:r>
          </w:p>
        </w:tc>
        <w:tc>
          <w:tcPr>
            <w:tcW w:w="1800" w:type="dxa"/>
          </w:tcPr>
          <w:p>
            <w:r>
              <w:t xml:space="preserve">Keep age null; do not impute. Derive a band only from a valid age and retain source band separately.</w:t>
            </w:r>
          </w:p>
        </w:tc>
        <w:tc>
          <w:tcPr>
            <w:tcW w:w="1800" w:type="dxa"/>
          </w:tcPr>
          <w:p>
            <w:r>
              <w:t xml:space="preserve">Quarantine negative or implausible ages according to the data dictionary; flag age/band mismatch</w:t>
            </w:r>
          </w:p>
        </w:tc>
        <w:tc>
          <w:tcPr>
            <w:tcW w:w="1800" w:type="dxa"/>
          </w:tcPr>
          <w:p>
            <w:r>
              <w:t xml:space="preserve">Map bands to documented ordered labels; keep Unknown separate</w:t>
            </w:r>
          </w:p>
        </w:tc>
      </w:tr>
      <w:tr>
        <w:tc>
          <w:tcPr>
            <w:tcW w:w="1800" w:type="dxa"/>
          </w:tcPr>
          <w:p>
            <w:r>
              <w:t xml:space="preserve">Engine_Capacity_(CC), Age_of_Vehicle</w:t>
            </w:r>
          </w:p>
        </w:tc>
        <w:tc>
          <w:tcPr>
            <w:tcW w:w="1800" w:type="dxa"/>
          </w:tcPr>
          <w:p>
            <w:r>
              <w:t xml:space="preserve">Nullable integer</w:t>
            </w:r>
          </w:p>
        </w:tc>
        <w:tc>
          <w:tcPr>
            <w:tcW w:w="1800" w:type="dxa"/>
          </w:tcPr>
          <w:p>
            <w:r>
              <w:t xml:space="preserve">Keep null; do not impute</w:t>
            </w:r>
          </w:p>
        </w:tc>
        <w:tc>
          <w:tcPr>
            <w:tcW w:w="1800" w:type="dxa"/>
          </w:tcPr>
          <w:p>
            <w:r>
              <w:t xml:space="preserve">Quarantine negative/noninteger values; flag implausible values for review rather than capping</w:t>
            </w:r>
          </w:p>
        </w:tc>
        <w:tc>
          <w:tcPr>
            <w:tcW w:w="1800" w:type="dxa"/>
          </w:tcPr>
          <w:p>
            <w:r>
              <w:t xml:space="preserve">None</w:t>
            </w:r>
          </w:p>
        </w:tc>
      </w:tr>
      <w:tr>
        <w:tc>
          <w:tcPr>
            <w:tcW w:w="1800" w:type="dxa"/>
          </w:tcPr>
          <w:p>
            <w:r>
              <w:t xml:space="preserve">Driver_Home_Area_Type</w:t>
            </w:r>
          </w:p>
        </w:tc>
        <w:tc>
          <w:tcPr>
            <w:tcW w:w="1800" w:type="dxa"/>
          </w:tcPr>
          <w:p>
            <w:r>
              <w:t xml:space="preserve">Categorical string/code</w:t>
            </w:r>
          </w:p>
        </w:tc>
        <w:tc>
          <w:tcPr>
            <w:tcW w:w="1800" w:type="dxa"/>
          </w:tcPr>
          <w:p>
            <w:r>
              <w:t xml:space="preserve">Keep null as Unknown; do not impute</w:t>
            </w:r>
          </w:p>
        </w:tc>
        <w:tc>
          <w:tcPr>
            <w:tcW w:w="1800" w:type="dxa"/>
          </w:tcPr>
          <w:p>
            <w:r>
              <w:t xml:space="preserve">Flag unmapped values</w:t>
            </w:r>
          </w:p>
        </w:tc>
        <w:tc>
          <w:tcPr>
            <w:tcW w:w="1800" w:type="dxa"/>
          </w:tcPr>
          <w:p>
            <w:r>
              <w:t xml:space="preserve">Map to documented lookup labels</w:t>
            </w:r>
          </w:p>
        </w:tc>
      </w:tr>
      <w:tr>
        <w:tc>
          <w:tcPr>
            <w:tcW w:w="1800" w:type="dxa"/>
          </w:tcPr>
          <w:p>
            <w:r>
              <w:t xml:space="preserve">Date, Time, and all numeric fields not named above</w:t>
            </w:r>
          </w:p>
        </w:tc>
        <w:tc>
          <w:tcPr>
            <w:tcW w:w="1800" w:type="dxa"/>
          </w:tcPr>
          <w:p>
            <w:r>
              <w:t xml:space="preserve">Parse explicitly; never rely on locale inference or automatic mixed-type coercion</w:t>
            </w:r>
          </w:p>
        </w:tc>
        <w:tc>
          <w:tcPr>
            <w:tcW w:w="1800" w:type="dxa"/>
          </w:tcPr>
          <w:p>
            <w:r>
              <w:t xml:space="preserve">Retain null unless the field is a key or required operational field</w:t>
            </w:r>
          </w:p>
        </w:tc>
        <w:tc>
          <w:tcPr>
            <w:tcW w:w="1800" w:type="dxa"/>
          </w:tcPr>
          <w:p>
            <w:r>
              <w:t xml:space="preserve">Quarantine parse failures and impossible values; include them in audit output</w:t>
            </w:r>
          </w:p>
        </w:tc>
        <w:tc>
          <w:tcPr>
            <w:tcW w:w="1800" w:type="dxa"/>
          </w:tcPr>
          <w:p>
            <w:r>
              <w:t xml:space="preserve">Text dimensions use trim/collapse/case rules and a lookup where one exists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Profiling gate (required before implementation)</w:t>
      </w:r>
    </w:p>
    <w:p>
      <w:r>
        <w:t xml:space="preserve"/>
      </w:r>
    </w:p>
    <w:p>
      <w:r>
        <w:t xml:space="preserve">For every delivered table, create a profile that records: column name, source type, cleaned type, null count/rate, distinct count, top values, numeric min/max, parse failures, exact duplicate count, key-duplicate count, and unmapped category count. Add every field not listed above to the profile and obtain approval before adding a new imputation or drop rule.</w:t>
      </w:r>
    </w:p>
    <w:p>
      <w:r>
        <w:t xml:space="preserve"/>
      </w:r>
    </w:p>
    <w:p>
      <w:pPr>
        <w:pStyle w:val="Heading1"/>
      </w:pPr>
      <w:r>
        <w:t xml:space="preserve">Explicit non-imputation policy</w:t>
      </w:r>
    </w:p>
    <w:p>
      <w:r>
        <w:t xml:space="preserve"/>
      </w:r>
    </w:p>
    <w:p>
      <w:r>
        <w:t xml:space="preserve">No demographic, severity, geographic, weather, road-condition, vehicle, count, or time value is statistically imputed in v1. The only derivations permitted are Year, Month, and Day_of_Week from a valid date, and an age band from a valid numeric age. This preserves analytical provenance and prevents fabricated accident characteristics.</w:t>
      </w:r>
    </w:p>
    <w:p>
      <w:r>
        <w:t xml:space="preserve"/>
      </w:r>
    </w:p>
    <w:p>
      <w:pPr>
        <w:pStyle w:val="Heading1"/>
      </w:pPr>
      <w:r>
        <w:t xml:space="preserve">Acceptance criteria</w:t>
      </w:r>
    </w:p>
    <w:p>
      <w:r>
        <w:t xml:space="preserve"/>
      </w:r>
    </w:p>
    <w:p>
      <w:r>
        <w:t xml:space="preserve">â€¢ Raw inputs are immutable and cleaned outputs are reproducible.</w:t>
      </w:r>
    </w:p>
    <w:p>
      <w:r>
        <w:t xml:space="preserve">â€¢ All rows removed or quarantined have a reason code.</w:t>
      </w:r>
    </w:p>
    <w:p>
      <w:r>
        <w:t xml:space="preserve">â€¢ Primary/composite key uniqueness is verified at each table grain.</w:t>
      </w:r>
    </w:p>
    <w:p>
      <w:r>
        <w:t xml:space="preserve">â€¢ Canonical category lookups have no unreviewed unmapped values.</w:t>
      </w:r>
    </w:p>
    <w:p>
      <w:r>
        <w:t xml:space="preserve">â€¢ The audit log shows before/after row counts and missingness for every column.</w:t>
      </w:r>
    </w:p>
    <w:p>
      <w:r>
        <w:t xml:space="preserve"/>
      </w:r>
    </w:p>
    <w:sectPr>
      <w:pgSz w:w="12240" w:h="15840"/>
      <w:pgMar w:top="1440" w:right="1080" w:bottom="144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