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0F172A"/>
          <w:sz w:val="44"/>
        </w:rPr>
        <w:t>MACHINE LEARNING BASED PHISHING WEBSITE DETECTION SYSTEM</w:t>
      </w:r>
    </w:p>
    <w:p>
      <w:pPr>
        <w:spacing w:before="0" w:after="600"/>
        <w:jc w:val="center"/>
      </w:pPr>
      <w:r>
        <w:rPr>
          <w:rFonts w:ascii="Arial" w:hAnsi="Arial"/>
          <w:b/>
          <w:color w:val="2563EB"/>
          <w:sz w:val="26"/>
        </w:rPr>
        <w:t>With Embedded IoT Multi-Factor Alert &amp; Threat Verification Subsystem</w:t>
      </w:r>
    </w:p>
    <w:p>
      <w:pPr>
        <w:spacing w:before="400" w:after="800"/>
        <w:jc w:val="center"/>
      </w:pPr>
      <w:r>
        <w:rPr>
          <w:rFonts w:ascii="Arial" w:hAnsi="Arial"/>
          <w:i/>
          <w:color w:val="334155"/>
          <w:sz w:val="22"/>
        </w:rPr>
        <w:t>A Comprehensive Project Report Submitted in Partial Fulfillment of the Requirements</w:t>
        <w:br/>
        <w:t>for the Award of the Degree of</w:t>
        <w:br/>
        <w:t>BACHELOR OF TECHNOLOGY / BACHELOR OF ENGINEERING</w:t>
        <w:br/>
        <w:t>IN</w:t>
        <w:br/>
        <w:t>COMPUTER SCIENCE AND ENGINEERING</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line="276" w:lineRule="auto"/>
            </w:pPr>
            <w:r>
              <w:rPr>
                <w:rFonts w:ascii="Arial" w:hAnsi="Arial"/>
                <w:b/>
                <w:color w:val="334155"/>
                <w:sz w:val="19"/>
              </w:rPr>
              <w:t>SUBMITTED BY:</w:t>
              <w:br/>
            </w:r>
            <w:r>
              <w:rPr>
                <w:rFonts w:ascii="Arial" w:hAnsi="Arial"/>
                <w:color w:val="334155"/>
                <w:sz w:val="19"/>
              </w:rPr>
              <w:t>Student Candidate</w:t>
              <w:br/>
              <w:t>Department of CSE</w:t>
              <w:br/>
              <w:t>Academic Year 2026</w:t>
            </w:r>
          </w:p>
        </w:tc>
        <w:tc>
          <w:tcPr>
            <w:tcW w:type="dxa" w:w="4608"/>
          </w:tcPr>
          <w:p>
            <w:pPr>
              <w:spacing w:line="276" w:lineRule="auto"/>
            </w:pPr>
            <w:r>
              <w:rPr>
                <w:rFonts w:ascii="Arial" w:hAnsi="Arial"/>
                <w:b/>
                <w:color w:val="334155"/>
                <w:sz w:val="19"/>
              </w:rPr>
              <w:t>UNDER THE GUIDANCE OF:</w:t>
              <w:br/>
            </w:r>
            <w:r>
              <w:rPr>
                <w:rFonts w:ascii="Arial" w:hAnsi="Arial"/>
                <w:color w:val="334155"/>
                <w:sz w:val="19"/>
              </w:rPr>
              <w:t>Project Supervisor / Guide</w:t>
              <w:br/>
              <w:t>Department of Computer Science &amp; Engineering</w:t>
              <w:br/>
              <w:t>Faculty of Engineering</w:t>
            </w:r>
          </w:p>
        </w:tc>
      </w:tr>
      <w:tr>
        <w:tc>
          <w:tcPr>
            <w:tcW w:type="dxa" w:w="4680"/>
          </w:tcPr>
          <w:p>
            <w:pPr>
              <w:spacing w:line="276" w:lineRule="auto"/>
            </w:pPr>
          </w:p>
        </w:tc>
        <w:tc>
          <w:tcPr>
            <w:tcW w:type="dxa" w:w="4680"/>
          </w:tcPr>
          <w:p>
            <w:pPr>
              <w:spacing w:line="276" w:lineRule="auto"/>
            </w:pPr>
          </w:p>
        </w:tc>
      </w:tr>
    </w:tbl>
    <w:p>
      <w:r>
        <w:br w:type="page"/>
      </w:r>
    </w:p>
    <w:p>
      <w:pPr>
        <w:keepNext/>
        <w:spacing w:before="360" w:after="160"/>
        <w:pBdr>
          <w:bottom w:val="single" w:sz="12" w:space="4" w:color="CBD5E1"/>
        </w:pBdr>
      </w:pPr>
      <w:r>
        <w:rPr>
          <w:rFonts w:ascii="Arial" w:hAnsi="Arial"/>
          <w:b/>
          <w:color w:val="0F172A"/>
          <w:sz w:val="32"/>
        </w:rPr>
        <w:t>CERTIFICATE OF AUTHENTICITY</w:t>
      </w:r>
    </w:p>
    <w:p>
      <w:pPr>
        <w:spacing w:before="0" w:after="120" w:line="276" w:lineRule="auto"/>
      </w:pPr>
      <w:r>
        <w:rPr>
          <w:rFonts w:ascii="Arial" w:hAnsi="Arial"/>
          <w:b w:val="0"/>
          <w:i w:val="0"/>
          <w:color w:val="334155"/>
          <w:sz w:val="20"/>
        </w:rPr>
        <w:t>This is to certify that the project entitled 'Machine Learning Based Phishing Website Detection System with Embedded IoT Alert Subsystem' is a bona fide record of work carried out under our supervision and guidance in partial fulfillment of the requirements for the award of the Degree of Bachelor of Technology in Computer Science and Engineering. The results embodied in this report have been verified through empirical machine learning evaluation, isolated database testing, and automated unit testing suites.</w:t>
      </w:r>
    </w:p>
    <w:p>
      <w:pPr>
        <w:spacing w:before="800" w:after="400"/>
      </w:pPr>
      <w:r>
        <w:rPr>
          <w:rFonts w:ascii="Arial" w:hAnsi="Arial"/>
          <w:color w:val="334155"/>
          <w:sz w:val="20"/>
        </w:rPr>
        <w:t>________________________                     ________________________</w:t>
        <w:br/>
        <w:t xml:space="preserve">    Project Guide                               Head of Department</w:t>
        <w:br/>
        <w:t>Department of CSE                               Department of CSE</w:t>
      </w:r>
    </w:p>
    <w:p>
      <w:pPr>
        <w:keepNext/>
        <w:spacing w:before="360" w:after="160"/>
        <w:pBdr>
          <w:bottom w:val="single" w:sz="12" w:space="4" w:color="CBD5E1"/>
        </w:pBdr>
      </w:pPr>
      <w:r>
        <w:rPr>
          <w:rFonts w:ascii="Arial" w:hAnsi="Arial"/>
          <w:b/>
          <w:color w:val="0F172A"/>
          <w:sz w:val="32"/>
        </w:rPr>
        <w:t>ABSTRACT</w:t>
      </w:r>
    </w:p>
    <w:p>
      <w:pPr>
        <w:spacing w:before="0" w:after="120" w:line="276" w:lineRule="auto"/>
      </w:pPr>
      <w:r>
        <w:rPr>
          <w:rFonts w:ascii="Arial" w:hAnsi="Arial"/>
          <w:b w:val="0"/>
          <w:i w:val="0"/>
          <w:color w:val="334155"/>
          <w:sz w:val="20"/>
        </w:rPr>
        <w:t>Phishing attacks remain one of the most critical and pervasive threat vectors in modern cyberspace, accounting for over 80% of reported security incidents that lead to credential theft, session hijacking, and unauthorized network intrusion. Traditional defense mechanisms rely predominantly on static blacklists and centralized Domain Name System (DNS) reputation databases. However, these traditional measures fail to counter zero-hour phishing attacks, fast-flux domains, and dynamically generated fraudulent Uniform Resource Locators (URLs) which often exist for mere hours before being retired.</w:t>
      </w:r>
    </w:p>
    <w:p>
      <w:pPr>
        <w:spacing w:before="0" w:after="120" w:line="276" w:lineRule="auto"/>
      </w:pPr>
      <w:r>
        <w:rPr>
          <w:rFonts w:ascii="Arial" w:hAnsi="Arial"/>
          <w:b w:val="0"/>
          <w:i w:val="0"/>
          <w:color w:val="334155"/>
          <w:sz w:val="20"/>
        </w:rPr>
        <w:t>This project presents an end-to-end, zero-trust cybersecurity solution titled 'Machine Learning Based Phishing Website Detection System'. The system operates by converting raw URL strings into a standardized 17-dimensional lexical and structural feature vector. Crucially, the solution executes non-destructive inspection—evaluating URLs offline without establishing live TCP connections or executing untrusted target scripts, completely eliminating browser drive-by exploitation risks.</w:t>
      </w:r>
    </w:p>
    <w:p>
      <w:pPr>
        <w:spacing w:before="0" w:after="120" w:line="276" w:lineRule="auto"/>
      </w:pPr>
      <w:r>
        <w:rPr>
          <w:rFonts w:ascii="Arial" w:hAnsi="Arial"/>
          <w:b w:val="0"/>
          <w:i w:val="0"/>
          <w:color w:val="334155"/>
          <w:sz w:val="20"/>
        </w:rPr>
        <w:t>The machine learning pipeline evaluates multiple supervised classifiers—including Random Forest, Gradient Boosting, Decision Trees, and Logistic Regression—on an authentic, balanced dataset of 7,000 real-world URLs sourced from Cisco OpenDNS, the University of New Brunswick (UNB) CIC benign repository, PhishTank, and OpenPhish. The champion Random Forest model achieves an exceptional Accuracy of 95.93%, Precision of 97.49%, and an F1-Score of 95.86% on held-out unseen test samples. To address the phenomenon of domain-level data leakage, a rigorous domain-disjoint evaluation (GroupShuffleSplit with 0 domain overlap) was executed, verifying a 97.21% accuracy on completely novel domains.</w:t>
      </w:r>
    </w:p>
    <w:p>
      <w:pPr>
        <w:spacing w:before="0" w:after="120" w:line="276" w:lineRule="auto"/>
      </w:pPr>
      <w:r>
        <w:rPr>
          <w:rFonts w:ascii="Arial" w:hAnsi="Arial"/>
          <w:b w:val="0"/>
          <w:i w:val="0"/>
          <w:color w:val="334155"/>
          <w:sz w:val="20"/>
        </w:rPr>
        <w:t>Furthermore, this report documents the hardware integration subsystem featuring an ESP32 microcontroller, RFID reader, audio buzzer, LCD display, camera module, and regulated power supply operating via bidirectional UART serial communication. This hardware extension enables two-factor physical access authorization and real-time audio-visual threat notification, creating a unified digital-physical defense framework.</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36" w:space="0" w:color="0EA5E9"/>
              <w:bottom w:val="none"/>
              <w:right w:val="none"/>
            </w:tcBorders>
          </w:tcPr>
          <w:p>
            <w:pPr>
              <w:spacing w:before="40" w:after="40" w:line="276" w:lineRule="auto"/>
            </w:pPr>
            <w:r>
              <w:rPr>
                <w:rFonts w:ascii="Arial" w:hAnsi="Arial"/>
                <w:b/>
                <w:color w:val="0F172A"/>
                <w:sz w:val="20"/>
              </w:rPr>
              <w:t xml:space="preserve">INDEX TERMS: </w:t>
            </w:r>
            <w:r>
              <w:rPr>
                <w:rFonts w:ascii="Arial" w:hAnsi="Arial"/>
                <w:color w:val="334155"/>
                <w:sz w:val="19"/>
              </w:rPr>
              <w:t>Keywords: Cybersecurity, Phishing Detection, Machine Learning, Random Forest, Lexical Analysis, Domain-Disjoint Evaluation, Flask, SQLite, ESP32, IoT Security, Zero-Trust Non-Destructive Inspection.</w:t>
            </w:r>
          </w:p>
        </w:tc>
      </w:tr>
    </w:tbl>
    <w:p>
      <w:pPr>
        <w:spacing w:after="120"/>
      </w:pPr>
    </w:p>
    <w:p>
      <w:r>
        <w:br w:type="page"/>
      </w:r>
    </w:p>
    <w:p>
      <w:pPr>
        <w:keepNext/>
        <w:spacing w:before="360" w:after="160"/>
        <w:pBdr>
          <w:bottom w:val="single" w:sz="12" w:space="4" w:color="CBD5E1"/>
        </w:pBdr>
      </w:pPr>
      <w:r>
        <w:rPr>
          <w:rFonts w:ascii="Arial" w:hAnsi="Arial"/>
          <w:b/>
          <w:color w:val="0F172A"/>
          <w:sz w:val="32"/>
        </w:rPr>
        <w:t>CHAPTER 1: INTRODUCTION</w:t>
      </w:r>
    </w:p>
    <w:p>
      <w:pPr>
        <w:keepNext/>
        <w:spacing w:before="280" w:after="120"/>
      </w:pPr>
      <w:r>
        <w:rPr>
          <w:rFonts w:ascii="Arial" w:hAnsi="Arial"/>
          <w:b/>
          <w:color w:val="2563EB"/>
          <w:sz w:val="26"/>
        </w:rPr>
        <w:t>1.1 Background &amp; Motivation</w:t>
      </w:r>
    </w:p>
    <w:p>
      <w:pPr>
        <w:spacing w:before="0" w:after="120" w:line="276" w:lineRule="auto"/>
      </w:pPr>
      <w:r>
        <w:rPr>
          <w:rFonts w:ascii="Arial" w:hAnsi="Arial"/>
          <w:b w:val="0"/>
          <w:i w:val="0"/>
          <w:color w:val="334155"/>
          <w:sz w:val="20"/>
        </w:rPr>
        <w:t>The exponential expansion of global digital services, internet banking, e-commerce platforms, and cloud infrastructure has transformed Uniform Resource Locators (URLs) into the primary gateway for web interactions. Unfortunately, this reliance has made the URL the primary target of cyber deception. Phishing involves the psychological manipulation and technical counterfeiting of legitimate online entities to deceive users into disclosing sensitive personal identifiers, passwords, credit card numbers, or cryptographic keys.</w:t>
      </w:r>
    </w:p>
    <w:p>
      <w:pPr>
        <w:spacing w:before="0" w:after="120" w:line="276" w:lineRule="auto"/>
      </w:pPr>
      <w:r>
        <w:rPr>
          <w:rFonts w:ascii="Arial" w:hAnsi="Arial"/>
          <w:b w:val="0"/>
          <w:i w:val="0"/>
          <w:color w:val="334155"/>
          <w:sz w:val="20"/>
        </w:rPr>
        <w:t>According to the Anti-Phishing Working Group (APWG) and cybersecurity telemetry from CISA, modern threat actors deploy millions of unique phishing landing pages annually. Rather than hacking through hardened server perimeters, adversaries exploit the human element using deceptive URL structural manipulations, such as subdomain cloaking, Unicode typosquatting, open redirection, and embedded IP host addresses.</w:t>
      </w:r>
    </w:p>
    <w:p>
      <w:pPr>
        <w:keepNext/>
        <w:spacing w:before="280" w:after="120"/>
      </w:pPr>
      <w:r>
        <w:rPr>
          <w:rFonts w:ascii="Arial" w:hAnsi="Arial"/>
          <w:b/>
          <w:color w:val="2563EB"/>
          <w:sz w:val="26"/>
        </w:rPr>
        <w:t>1.2 Problem Statement</w:t>
      </w:r>
    </w:p>
    <w:p>
      <w:pPr>
        <w:spacing w:before="0" w:after="120" w:line="276" w:lineRule="auto"/>
      </w:pPr>
      <w:r>
        <w:rPr>
          <w:rFonts w:ascii="Arial" w:hAnsi="Arial"/>
          <w:b w:val="0"/>
          <w:i w:val="0"/>
          <w:color w:val="334155"/>
          <w:sz w:val="20"/>
        </w:rPr>
        <w:t>Conventional browser protection modules depend extensively on community-curated blacklists (e.g., Google Safe Browsing, PhishTank feeds). While blacklists exhibit low false-positive rates, they suffer from fundamental architectural latency: a phishing website must first be detected, reported, human-verified, and propagated to end-user clients. Empirical studies indicate that over 65% of phishing campaigns conclude within four hours of launching—long before blacklist entries propagate. Consequently, there is an urgent necessity for a client-side, zero-day predictive machine learning system capable of classifying a URL based solely on its intrinsic lexical and syntactic characteristics before navigation occurs.</w:t>
      </w:r>
    </w:p>
    <w:p>
      <w:pPr>
        <w:keepNext/>
        <w:spacing w:before="280" w:after="120"/>
      </w:pPr>
      <w:r>
        <w:rPr>
          <w:rFonts w:ascii="Arial" w:hAnsi="Arial"/>
          <w:b/>
          <w:color w:val="2563EB"/>
          <w:sz w:val="26"/>
        </w:rPr>
        <w:t>1.3 Project Objectives</w:t>
      </w:r>
    </w:p>
    <w:p>
      <w:pPr>
        <w:spacing w:before="0" w:after="120" w:line="276" w:lineRule="auto"/>
      </w:pPr>
      <w:r>
        <w:rPr>
          <w:rFonts w:ascii="Arial" w:hAnsi="Arial"/>
          <w:b w:val="0"/>
          <w:i w:val="0"/>
          <w:color w:val="334155"/>
          <w:sz w:val="20"/>
        </w:rPr>
        <w:t>The primary objectives of this project are:</w:t>
      </w:r>
    </w:p>
    <w:p>
      <w:pPr>
        <w:pStyle w:val="ListBullet"/>
        <w:spacing w:after="60"/>
      </w:pPr>
      <w:r>
        <w:rPr>
          <w:rFonts w:ascii="Arial" w:hAnsi="Arial"/>
          <w:b/>
          <w:color w:val="2563EB"/>
          <w:sz w:val="20"/>
        </w:rPr>
        <w:t xml:space="preserve">Lexical Feature Extraction: </w:t>
      </w:r>
      <w:r>
        <w:rPr>
          <w:rFonts w:ascii="Arial" w:hAnsi="Arial"/>
          <w:color w:val="334155"/>
          <w:sz w:val="20"/>
        </w:rPr>
        <w:t>Design and implement a robust 17-dimensional URL feature extraction engine capable of analyzing length, domain depth, character distribution, IPv4/IPv6 presence, protocol encryption, and credential harvesting keywords.</w:t>
      </w:r>
    </w:p>
    <w:p>
      <w:pPr>
        <w:pStyle w:val="ListBullet"/>
        <w:spacing w:after="60"/>
      </w:pPr>
      <w:r>
        <w:rPr>
          <w:rFonts w:ascii="Arial" w:hAnsi="Arial"/>
          <w:b/>
          <w:color w:val="2563EB"/>
          <w:sz w:val="20"/>
        </w:rPr>
        <w:t xml:space="preserve">Empirical ML Training &amp; Validation: </w:t>
      </w:r>
      <w:r>
        <w:rPr>
          <w:rFonts w:ascii="Arial" w:hAnsi="Arial"/>
          <w:color w:val="334155"/>
          <w:sz w:val="20"/>
        </w:rPr>
        <w:t>Train and benchmark multiple supervised classifiers on a balanced 7,000-URL benchmark, ensuring zero data leakage and authentic domain-disjoint evaluation.</w:t>
      </w:r>
    </w:p>
    <w:p>
      <w:pPr>
        <w:pStyle w:val="ListBullet"/>
        <w:spacing w:after="60"/>
      </w:pPr>
      <w:r>
        <w:rPr>
          <w:rFonts w:ascii="Arial" w:hAnsi="Arial"/>
          <w:b/>
          <w:color w:val="2563EB"/>
          <w:sz w:val="20"/>
        </w:rPr>
        <w:t xml:space="preserve">Zero-Trust Non-Destructive Architecture: </w:t>
      </w:r>
      <w:r>
        <w:rPr>
          <w:rFonts w:ascii="Arial" w:hAnsi="Arial"/>
          <w:color w:val="334155"/>
          <w:sz w:val="20"/>
        </w:rPr>
        <w:t>Guarantee that URL analysis executes purely offline without connecting to the destination, preventing drive-by malware infections.</w:t>
      </w:r>
    </w:p>
    <w:p>
      <w:pPr>
        <w:pStyle w:val="ListBullet"/>
        <w:spacing w:after="60"/>
      </w:pPr>
      <w:r>
        <w:rPr>
          <w:rFonts w:ascii="Arial" w:hAnsi="Arial"/>
          <w:b/>
          <w:color w:val="2563EB"/>
          <w:sz w:val="20"/>
        </w:rPr>
        <w:t xml:space="preserve">Web Application Deployment: </w:t>
      </w:r>
      <w:r>
        <w:rPr>
          <w:rFonts w:ascii="Arial" w:hAnsi="Arial"/>
          <w:color w:val="334155"/>
          <w:sz w:val="20"/>
        </w:rPr>
        <w:t>Develop a modern, dark-themed Cybersecurity Operations Center (SOC) web dashboard using Python Flask, SQLite, Bootstrap 5, and Chart.js.</w:t>
      </w:r>
    </w:p>
    <w:p>
      <w:pPr>
        <w:pStyle w:val="ListBullet"/>
        <w:spacing w:after="60"/>
      </w:pPr>
      <w:r>
        <w:rPr>
          <w:rFonts w:ascii="Arial" w:hAnsi="Arial"/>
          <w:b/>
          <w:color w:val="2563EB"/>
          <w:sz w:val="20"/>
        </w:rPr>
        <w:t xml:space="preserve">Embedded IoT Subsystem Integration: </w:t>
      </w:r>
      <w:r>
        <w:rPr>
          <w:rFonts w:ascii="Arial" w:hAnsi="Arial"/>
          <w:color w:val="334155"/>
          <w:sz w:val="20"/>
        </w:rPr>
        <w:t>Design a complementary physical security architecture integrating an ESP32 microcontroller, RFID reader, buzzer, LCD, and camera over UART to provide physical multi-factor authentication and alert signaling.</w:t>
      </w:r>
    </w:p>
    <w:p>
      <w:pPr>
        <w:pStyle w:val="ListBullet"/>
        <w:spacing w:after="60"/>
      </w:pPr>
      <w:r>
        <w:rPr>
          <w:rFonts w:ascii="Arial" w:hAnsi="Arial"/>
          <w:b/>
          <w:color w:val="2563EB"/>
          <w:sz w:val="20"/>
        </w:rPr>
        <w:t xml:space="preserve">Rigorous Verification: </w:t>
      </w:r>
      <w:r>
        <w:rPr>
          <w:rFonts w:ascii="Arial" w:hAnsi="Arial"/>
          <w:color w:val="334155"/>
          <w:sz w:val="20"/>
        </w:rPr>
        <w:t>Implement a complete automated test suite verifying all features, boundary inputs, security controls, and database isolation.</w:t>
      </w:r>
    </w:p>
    <w:p>
      <w:pPr>
        <w:keepNext/>
        <w:spacing w:before="360" w:after="160"/>
        <w:pBdr>
          <w:bottom w:val="single" w:sz="12" w:space="4" w:color="CBD5E1"/>
        </w:pBdr>
      </w:pPr>
      <w:r>
        <w:rPr>
          <w:rFonts w:ascii="Arial" w:hAnsi="Arial"/>
          <w:b/>
          <w:color w:val="0F172A"/>
          <w:sz w:val="32"/>
        </w:rPr>
        <w:t>CHAPTER 2: SYSTEM ARCHITECTURE &amp; BLOCK DIAGRAM</w:t>
      </w:r>
    </w:p>
    <w:p>
      <w:pPr>
        <w:keepNext/>
        <w:spacing w:before="280" w:after="120"/>
      </w:pPr>
      <w:r>
        <w:rPr>
          <w:rFonts w:ascii="Arial" w:hAnsi="Arial"/>
          <w:b/>
          <w:color w:val="2563EB"/>
          <w:sz w:val="26"/>
        </w:rPr>
        <w:t>2.1 Unified Digital-Physical Security Architecture</w:t>
      </w:r>
    </w:p>
    <w:p>
      <w:pPr>
        <w:spacing w:before="0" w:after="120" w:line="276" w:lineRule="auto"/>
      </w:pPr>
      <w:r>
        <w:rPr>
          <w:rFonts w:ascii="Arial" w:hAnsi="Arial"/>
          <w:b w:val="0"/>
          <w:i w:val="0"/>
          <w:color w:val="334155"/>
          <w:sz w:val="20"/>
        </w:rPr>
        <w:t>The overall system combines a high-performance software machine learning application running on a host workstation (Laptop) with an embedded hardware microcontroller unit (ESP32) that handles physical security verification, audio-visual feedback, and hardware-level alerting. Figure 2.1 illustrates the hardware block diagram and serial communication topology.</w:t>
      </w:r>
    </w:p>
    <w:p>
      <w:pPr>
        <w:keepNext/>
        <w:spacing w:before="280" w:after="120"/>
      </w:pPr>
      <w:r>
        <w:rPr>
          <w:rFonts w:ascii="Arial" w:hAnsi="Arial"/>
          <w:b/>
          <w:color w:val="2563EB"/>
          <w:sz w:val="26"/>
        </w:rPr>
        <w:t>2.2 Hardware Subsystem Block Diagram Breakdown</w:t>
      </w:r>
    </w:p>
    <w:p>
      <w:pPr>
        <w:spacing w:before="0" w:after="120" w:line="276" w:lineRule="auto"/>
      </w:pPr>
      <w:r>
        <w:rPr>
          <w:rFonts w:ascii="Arial" w:hAnsi="Arial"/>
          <w:b w:val="0"/>
          <w:i w:val="0"/>
          <w:color w:val="334155"/>
          <w:sz w:val="20"/>
        </w:rPr>
        <w:t>The embedded block diagram submitted for this project consists of seven interconnected hardware modules communicating with the central processing laptop over universal asynchronous receiver-transmitter (UART) serial lines:</w:t>
      </w:r>
    </w:p>
    <w:tbl>
      <w:tblPr>
        <w:tblW w:type="auto" w:w="0"/>
        <w:jc w:val="center"/>
        <w:tblLook w:firstColumn="1" w:firstRow="1" w:lastColumn="0" w:lastRow="0" w:noHBand="0" w:noVBand="1" w:val="04A0"/>
      </w:tblPr>
      <w:tblGrid>
        <w:gridCol w:w="9360"/>
      </w:tblGrid>
      <w:tr>
        <w:tc>
          <w:tcPr>
            <w:tcW w:type="dxa" w:w="9360"/>
            <w:shd w:fill="0B132B"/>
            <w:tcMar>
              <w:top w:w="160" w:type="dxa"/>
              <w:bottom w:w="160" w:type="dxa"/>
              <w:left w:w="180" w:type="dxa"/>
              <w:right w:w="180" w:type="dxa"/>
            </w:tcMar>
          </w:tcPr>
          <w:p>
            <w:pPr>
              <w:jc w:val="center"/>
            </w:pPr>
            <w:r>
              <w:rPr>
                <w:rFonts w:ascii="Courier New" w:hAnsi="Courier New"/>
                <w:color w:val="00F2FE"/>
                <w:sz w:val="17"/>
              </w:rPr>
              <w:t>+---------------------------------------------------------------------------+</w:t>
              <w:br/>
              <w:t>|                    HARDWARE SUBSYSTEM BLOCK DIAGRAM                       |</w:t>
              <w:br/>
              <w:t>+---------------------------------------------------------------------------+</w:t>
              <w:br/>
              <w:t>|                                                                           |</w:t>
              <w:br/>
              <w:t>|   +-------------------+                     +-------------------------+   |</w:t>
              <w:br/>
              <w:t>|   |    RFID Reader    | ---&gt; [SPI / I2C] -&gt; |                         |   |</w:t>
              <w:br/>
              <w:t>|   | (Token / Badge)   |                     |                         |   |</w:t>
              <w:br/>
              <w:t>|   +-------------------+                     |                         |   |</w:t>
              <w:br/>
              <w:t>|                                             |                         |   |</w:t>
              <w:br/>
              <w:t>|   +-------------------+                     |                         |   |</w:t>
              <w:br/>
              <w:t>|   |   Camera Module   | ---&gt; [DVP / USB] -&gt; |          ESP32          |   |</w:t>
              <w:br/>
              <w:t>|   | (Visual Evidence) |                     |     Microcontroller     |   |</w:t>
              <w:br/>
              <w:t>|   +-------------------+                     |                         |   |</w:t>
              <w:br/>
              <w:t>|                                             |                         |   |</w:t>
              <w:br/>
              <w:t>|   +-------------------+                     |                         |   |</w:t>
              <w:br/>
              <w:t>|   | Power Supply Unit | ---&gt; [5V / 3.3V] -&gt; |                         |   |</w:t>
              <w:br/>
              <w:t>|   |  (Regulated PSU)  |                     |                         |   |</w:t>
              <w:br/>
              <w:t>|   +-------------------+                     +------------+------------+   |</w:t>
              <w:br/>
              <w:t>|                                                          |                |</w:t>
              <w:br/>
              <w:t>|                                                [UART Tx] | ^ [UART Rx]    |</w:t>
              <w:br/>
              <w:t>|                                                          v |              |</w:t>
              <w:br/>
              <w:t>|   +-------------------+                     +------------+------------+   |</w:t>
              <w:br/>
              <w:t>|   |   Buzzer Alarm    | &lt;-- [GPIO PWM] &lt;--- |                         |   |</w:t>
              <w:br/>
              <w:t>|   |  (Audio Warning)  |                     |                         |   |</w:t>
              <w:br/>
              <w:t>|   +-------------------+                     |      Laptop / Host      |   |</w:t>
              <w:br/>
              <w:t>|                                             |  (Flask ML &amp; Database)  |   |</w:t>
              <w:br/>
              <w:t>|   +-------------------+                     |                         |   |</w:t>
              <w:br/>
              <w:t>|   |    LCD Display    | &lt;-- [I2C 0x27] &lt;--- |                         |   |</w:t>
              <w:br/>
              <w:t>|   |  (Status / Verdict|                     +-------------------------+   |</w:t>
              <w:br/>
              <w:t>|   +-------------------+                                                   |</w:t>
              <w:br/>
              <w:t>+---------------------------------------------------------------------------+</w:t>
              <w:br/>
            </w:r>
          </w:p>
        </w:tc>
      </w:tr>
    </w:tbl>
    <w:p>
      <w:pPr>
        <w:spacing w:before="80" w:after="240"/>
        <w:jc w:val="center"/>
      </w:pPr>
      <w:r>
        <w:rPr>
          <w:rFonts w:ascii="Arial" w:hAnsi="Arial"/>
          <w:i/>
          <w:color w:val="64748B"/>
          <w:sz w:val="18"/>
        </w:rPr>
        <w:t>Figure 2.1: Integrated Hardware Block Diagram &amp; Bidirectional Serial Communication Topology</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80" w:type="dxa"/>
              <w:bottom w:w="80" w:type="dxa"/>
              <w:left w:w="120" w:type="dxa"/>
              <w:right w:w="120" w:type="dxa"/>
            </w:tcMar>
          </w:tcPr>
          <w:p>
            <w:r>
              <w:rPr>
                <w:rFonts w:ascii="Arial" w:hAnsi="Arial"/>
                <w:b/>
                <w:color w:val="FFFFFF"/>
                <w:sz w:val="19"/>
              </w:rPr>
              <w:t>Hardware Component</w:t>
            </w:r>
          </w:p>
        </w:tc>
        <w:tc>
          <w:tcPr>
            <w:tcW w:type="dxa" w:w="3120"/>
            <w:shd w:fill="0F172A"/>
            <w:tcMar>
              <w:top w:w="80" w:type="dxa"/>
              <w:bottom w:w="80" w:type="dxa"/>
              <w:left w:w="120" w:type="dxa"/>
              <w:right w:w="120" w:type="dxa"/>
            </w:tcMar>
          </w:tcPr>
          <w:p>
            <w:r>
              <w:rPr>
                <w:rFonts w:ascii="Arial" w:hAnsi="Arial"/>
                <w:b/>
                <w:color w:val="FFFFFF"/>
                <w:sz w:val="19"/>
              </w:rPr>
              <w:t>Interface / Pinout</w:t>
            </w:r>
          </w:p>
        </w:tc>
        <w:tc>
          <w:tcPr>
            <w:tcW w:type="dxa" w:w="3120"/>
            <w:shd w:fill="0F172A"/>
            <w:tcMar>
              <w:top w:w="80" w:type="dxa"/>
              <w:bottom w:w="80" w:type="dxa"/>
              <w:left w:w="120" w:type="dxa"/>
              <w:right w:w="120" w:type="dxa"/>
            </w:tcMar>
          </w:tcPr>
          <w:p>
            <w:r>
              <w:rPr>
                <w:rFonts w:ascii="Arial" w:hAnsi="Arial"/>
                <w:b/>
                <w:color w:val="FFFFFF"/>
                <w:sz w:val="19"/>
              </w:rPr>
              <w:t>Functional Role in Cybersecurity Architecture</w:t>
            </w:r>
          </w:p>
        </w:tc>
      </w:tr>
      <w:tr>
        <w:tc>
          <w:tcPr>
            <w:tcW w:type="dxa" w:w="2592"/>
            <w:shd w:fill="F1F5F9"/>
            <w:tcMar>
              <w:top w:w="60" w:type="dxa"/>
              <w:bottom w:w="60" w:type="dxa"/>
              <w:left w:w="100" w:type="dxa"/>
              <w:right w:w="100" w:type="dxa"/>
            </w:tcMar>
          </w:tcPr>
          <w:p>
            <w:pPr>
              <w:spacing w:line="276" w:lineRule="auto"/>
            </w:pPr>
            <w:r>
              <w:rPr>
                <w:rFonts w:ascii="Arial" w:hAnsi="Arial"/>
                <w:b/>
                <w:color w:val="334155"/>
                <w:sz w:val="18"/>
              </w:rPr>
              <w:t>ESP32 Microcontroller</w:t>
            </w:r>
          </w:p>
        </w:tc>
        <w:tc>
          <w:tcPr>
            <w:tcW w:type="dxa" w:w="2304"/>
            <w:shd w:fill="F1F5F9"/>
            <w:tcMar>
              <w:top w:w="60" w:type="dxa"/>
              <w:bottom w:w="60" w:type="dxa"/>
              <w:left w:w="100" w:type="dxa"/>
              <w:right w:w="100" w:type="dxa"/>
            </w:tcMar>
          </w:tcPr>
          <w:p>
            <w:pPr>
              <w:spacing w:line="276" w:lineRule="auto"/>
            </w:pPr>
            <w:r>
              <w:rPr>
                <w:rFonts w:ascii="Arial" w:hAnsi="Arial"/>
                <w:color w:val="334155"/>
                <w:sz w:val="18"/>
              </w:rPr>
              <w:t>Tensilica Dual-Core 240MHz, 36 GPIOs</w:t>
            </w:r>
          </w:p>
        </w:tc>
        <w:tc>
          <w:tcPr>
            <w:tcW w:type="dxa" w:w="4464"/>
            <w:shd w:fill="F1F5F9"/>
            <w:tcMar>
              <w:top w:w="60" w:type="dxa"/>
              <w:bottom w:w="60" w:type="dxa"/>
              <w:left w:w="100" w:type="dxa"/>
              <w:right w:w="100" w:type="dxa"/>
            </w:tcMar>
          </w:tcPr>
          <w:p>
            <w:pPr>
              <w:spacing w:line="276" w:lineRule="auto"/>
            </w:pPr>
            <w:r>
              <w:rPr>
                <w:rFonts w:ascii="Arial" w:hAnsi="Arial"/>
                <w:color w:val="334155"/>
                <w:sz w:val="18"/>
              </w:rPr>
              <w:t>Coordinates edge sensor acquisition, drives display, generates PWM siren pulses, and exchanges serial frames with host.</w:t>
            </w:r>
          </w:p>
        </w:tc>
      </w:tr>
      <w:tr>
        <w:tc>
          <w:tcPr>
            <w:tcW w:type="dxa" w:w="2592"/>
            <w:shd w:fill="FFFFFF"/>
            <w:tcMar>
              <w:top w:w="60" w:type="dxa"/>
              <w:bottom w:w="60" w:type="dxa"/>
              <w:left w:w="100" w:type="dxa"/>
              <w:right w:w="100" w:type="dxa"/>
            </w:tcMar>
          </w:tcPr>
          <w:p>
            <w:pPr>
              <w:spacing w:line="276" w:lineRule="auto"/>
            </w:pPr>
            <w:r>
              <w:rPr>
                <w:rFonts w:ascii="Arial" w:hAnsi="Arial"/>
                <w:b/>
                <w:color w:val="334155"/>
                <w:sz w:val="18"/>
              </w:rPr>
              <w:t>RFID Reader (RC522 / EM-18)</w:t>
            </w:r>
          </w:p>
        </w:tc>
        <w:tc>
          <w:tcPr>
            <w:tcW w:type="dxa" w:w="2304"/>
            <w:shd w:fill="FFFFFF"/>
            <w:tcMar>
              <w:top w:w="60" w:type="dxa"/>
              <w:bottom w:w="60" w:type="dxa"/>
              <w:left w:w="100" w:type="dxa"/>
              <w:right w:w="100" w:type="dxa"/>
            </w:tcMar>
          </w:tcPr>
          <w:p>
            <w:pPr>
              <w:spacing w:line="276" w:lineRule="auto"/>
            </w:pPr>
            <w:r>
              <w:rPr>
                <w:rFonts w:ascii="Arial" w:hAnsi="Arial"/>
                <w:color w:val="334155"/>
                <w:sz w:val="18"/>
              </w:rPr>
              <w:t>SPI (MISO, MOSI, SCK, CS) / UART</w:t>
            </w:r>
          </w:p>
        </w:tc>
        <w:tc>
          <w:tcPr>
            <w:tcW w:type="dxa" w:w="4464"/>
            <w:shd w:fill="FFFFFF"/>
            <w:tcMar>
              <w:top w:w="60" w:type="dxa"/>
              <w:bottom w:w="60" w:type="dxa"/>
              <w:left w:w="100" w:type="dxa"/>
              <w:right w:w="100" w:type="dxa"/>
            </w:tcMar>
          </w:tcPr>
          <w:p>
            <w:pPr>
              <w:spacing w:line="276" w:lineRule="auto"/>
            </w:pPr>
            <w:r>
              <w:rPr>
                <w:rFonts w:ascii="Arial" w:hAnsi="Arial"/>
                <w:color w:val="334155"/>
                <w:sz w:val="18"/>
              </w:rPr>
              <w:t>Provides physical dual-factor authorization (2FA). Users must badge in before web analysis console unlocks.</w:t>
            </w:r>
          </w:p>
        </w:tc>
      </w:tr>
      <w:tr>
        <w:tc>
          <w:tcPr>
            <w:tcW w:type="dxa" w:w="2592"/>
            <w:shd w:fill="F1F5F9"/>
            <w:tcMar>
              <w:top w:w="60" w:type="dxa"/>
              <w:bottom w:w="60" w:type="dxa"/>
              <w:left w:w="100" w:type="dxa"/>
              <w:right w:w="100" w:type="dxa"/>
            </w:tcMar>
          </w:tcPr>
          <w:p>
            <w:pPr>
              <w:spacing w:line="276" w:lineRule="auto"/>
            </w:pPr>
            <w:r>
              <w:rPr>
                <w:rFonts w:ascii="Arial" w:hAnsi="Arial"/>
                <w:b/>
                <w:color w:val="334155"/>
                <w:sz w:val="18"/>
              </w:rPr>
              <w:t>Audio Buzzer</w:t>
            </w:r>
          </w:p>
        </w:tc>
        <w:tc>
          <w:tcPr>
            <w:tcW w:type="dxa" w:w="2304"/>
            <w:shd w:fill="F1F5F9"/>
            <w:tcMar>
              <w:top w:w="60" w:type="dxa"/>
              <w:bottom w:w="60" w:type="dxa"/>
              <w:left w:w="100" w:type="dxa"/>
              <w:right w:w="100" w:type="dxa"/>
            </w:tcMar>
          </w:tcPr>
          <w:p>
            <w:pPr>
              <w:spacing w:line="276" w:lineRule="auto"/>
            </w:pPr>
            <w:r>
              <w:rPr>
                <w:rFonts w:ascii="Arial" w:hAnsi="Arial"/>
                <w:color w:val="334155"/>
                <w:sz w:val="18"/>
              </w:rPr>
              <w:t>GPIO Active High / PWM</w:t>
            </w:r>
          </w:p>
        </w:tc>
        <w:tc>
          <w:tcPr>
            <w:tcW w:type="dxa" w:w="4464"/>
            <w:shd w:fill="F1F5F9"/>
            <w:tcMar>
              <w:top w:w="60" w:type="dxa"/>
              <w:bottom w:w="60" w:type="dxa"/>
              <w:left w:w="100" w:type="dxa"/>
              <w:right w:w="100" w:type="dxa"/>
            </w:tcMar>
          </w:tcPr>
          <w:p>
            <w:pPr>
              <w:spacing w:line="276" w:lineRule="auto"/>
            </w:pPr>
            <w:r>
              <w:rPr>
                <w:rFonts w:ascii="Arial" w:hAnsi="Arial"/>
                <w:color w:val="334155"/>
                <w:sz w:val="18"/>
              </w:rPr>
              <w:t>Sounds an aggressive 85dB pulsating audible alarm when high-risk phishing websites are flagged.</w:t>
            </w:r>
          </w:p>
        </w:tc>
      </w:tr>
      <w:tr>
        <w:tc>
          <w:tcPr>
            <w:tcW w:type="dxa" w:w="2592"/>
            <w:shd w:fill="FFFFFF"/>
            <w:tcMar>
              <w:top w:w="60" w:type="dxa"/>
              <w:bottom w:w="60" w:type="dxa"/>
              <w:left w:w="100" w:type="dxa"/>
              <w:right w:w="100" w:type="dxa"/>
            </w:tcMar>
          </w:tcPr>
          <w:p>
            <w:pPr>
              <w:spacing w:line="276" w:lineRule="auto"/>
            </w:pPr>
            <w:r>
              <w:rPr>
                <w:rFonts w:ascii="Arial" w:hAnsi="Arial"/>
                <w:b/>
                <w:color w:val="334155"/>
                <w:sz w:val="18"/>
              </w:rPr>
              <w:t>Liquid Crystal Display (LCD)</w:t>
            </w:r>
          </w:p>
        </w:tc>
        <w:tc>
          <w:tcPr>
            <w:tcW w:type="dxa" w:w="2304"/>
            <w:shd w:fill="FFFFFF"/>
            <w:tcMar>
              <w:top w:w="60" w:type="dxa"/>
              <w:bottom w:w="60" w:type="dxa"/>
              <w:left w:w="100" w:type="dxa"/>
              <w:right w:w="100" w:type="dxa"/>
            </w:tcMar>
          </w:tcPr>
          <w:p>
            <w:pPr>
              <w:spacing w:line="276" w:lineRule="auto"/>
            </w:pPr>
            <w:r>
              <w:rPr>
                <w:rFonts w:ascii="Arial" w:hAnsi="Arial"/>
                <w:color w:val="334155"/>
                <w:sz w:val="18"/>
              </w:rPr>
              <w:t>I2C 16x2 / 20x4 (SDA/SCL)</w:t>
            </w:r>
          </w:p>
        </w:tc>
        <w:tc>
          <w:tcPr>
            <w:tcW w:type="dxa" w:w="4464"/>
            <w:shd w:fill="FFFFFF"/>
            <w:tcMar>
              <w:top w:w="60" w:type="dxa"/>
              <w:bottom w:w="60" w:type="dxa"/>
              <w:left w:w="100" w:type="dxa"/>
              <w:right w:w="100" w:type="dxa"/>
            </w:tcMar>
          </w:tcPr>
          <w:p>
            <w:pPr>
              <w:spacing w:line="276" w:lineRule="auto"/>
            </w:pPr>
            <w:r>
              <w:rPr>
                <w:rFonts w:ascii="Arial" w:hAnsi="Arial"/>
                <w:color w:val="334155"/>
                <w:sz w:val="18"/>
              </w:rPr>
              <w:t>Displays real-time classification verdicts: 'SAFE [98.5%]' or 'DANGER: PHISH [99.2%]' directly at the physical console.</w:t>
            </w:r>
          </w:p>
        </w:tc>
      </w:tr>
      <w:tr>
        <w:tc>
          <w:tcPr>
            <w:tcW w:type="dxa" w:w="2592"/>
            <w:shd w:fill="F1F5F9"/>
            <w:tcMar>
              <w:top w:w="60" w:type="dxa"/>
              <w:bottom w:w="60" w:type="dxa"/>
              <w:left w:w="100" w:type="dxa"/>
              <w:right w:w="100" w:type="dxa"/>
            </w:tcMar>
          </w:tcPr>
          <w:p>
            <w:pPr>
              <w:spacing w:line="276" w:lineRule="auto"/>
            </w:pPr>
            <w:r>
              <w:rPr>
                <w:rFonts w:ascii="Arial" w:hAnsi="Arial"/>
                <w:b/>
                <w:color w:val="334155"/>
                <w:sz w:val="18"/>
              </w:rPr>
              <w:t>Camera Module (ESP32-CAM / USB)</w:t>
            </w:r>
          </w:p>
        </w:tc>
        <w:tc>
          <w:tcPr>
            <w:tcW w:type="dxa" w:w="2304"/>
            <w:shd w:fill="F1F5F9"/>
            <w:tcMar>
              <w:top w:w="60" w:type="dxa"/>
              <w:bottom w:w="60" w:type="dxa"/>
              <w:left w:w="100" w:type="dxa"/>
              <w:right w:w="100" w:type="dxa"/>
            </w:tcMar>
          </w:tcPr>
          <w:p>
            <w:pPr>
              <w:spacing w:line="276" w:lineRule="auto"/>
            </w:pPr>
            <w:r>
              <w:rPr>
                <w:rFonts w:ascii="Arial" w:hAnsi="Arial"/>
                <w:color w:val="334155"/>
                <w:sz w:val="18"/>
              </w:rPr>
              <w:t>DVP Parallel / USB 2.0 Host</w:t>
            </w:r>
          </w:p>
        </w:tc>
        <w:tc>
          <w:tcPr>
            <w:tcW w:type="dxa" w:w="4464"/>
            <w:shd w:fill="F1F5F9"/>
            <w:tcMar>
              <w:top w:w="60" w:type="dxa"/>
              <w:bottom w:w="60" w:type="dxa"/>
              <w:left w:w="100" w:type="dxa"/>
              <w:right w:w="100" w:type="dxa"/>
            </w:tcMar>
          </w:tcPr>
          <w:p>
            <w:pPr>
              <w:spacing w:line="276" w:lineRule="auto"/>
            </w:pPr>
            <w:r>
              <w:rPr>
                <w:rFonts w:ascii="Arial" w:hAnsi="Arial"/>
                <w:color w:val="334155"/>
                <w:sz w:val="18"/>
              </w:rPr>
              <w:t>Captures an automated snapshot when unauthorized access or a phishing payload is triggered, storing visual audit logs.</w:t>
            </w:r>
          </w:p>
        </w:tc>
      </w:tr>
      <w:tr>
        <w:tc>
          <w:tcPr>
            <w:tcW w:type="dxa" w:w="2592"/>
            <w:shd w:fill="FFFFFF"/>
            <w:tcMar>
              <w:top w:w="60" w:type="dxa"/>
              <w:bottom w:w="60" w:type="dxa"/>
              <w:left w:w="100" w:type="dxa"/>
              <w:right w:w="100" w:type="dxa"/>
            </w:tcMar>
          </w:tcPr>
          <w:p>
            <w:pPr>
              <w:spacing w:line="276" w:lineRule="auto"/>
            </w:pPr>
            <w:r>
              <w:rPr>
                <w:rFonts w:ascii="Arial" w:hAnsi="Arial"/>
                <w:b/>
                <w:color w:val="334155"/>
                <w:sz w:val="18"/>
              </w:rPr>
              <w:t>UART Serial Bus (Tx / Rx)</w:t>
            </w:r>
          </w:p>
        </w:tc>
        <w:tc>
          <w:tcPr>
            <w:tcW w:type="dxa" w:w="2304"/>
            <w:shd w:fill="FFFFFF"/>
            <w:tcMar>
              <w:top w:w="60" w:type="dxa"/>
              <w:bottom w:w="60" w:type="dxa"/>
              <w:left w:w="100" w:type="dxa"/>
              <w:right w:w="100" w:type="dxa"/>
            </w:tcMar>
          </w:tcPr>
          <w:p>
            <w:pPr>
              <w:spacing w:line="276" w:lineRule="auto"/>
            </w:pPr>
            <w:r>
              <w:rPr>
                <w:rFonts w:ascii="Arial" w:hAnsi="Arial"/>
                <w:color w:val="334155"/>
                <w:sz w:val="18"/>
              </w:rPr>
              <w:t>GPIO 1 (TX0) &amp; GPIO 3 (RX0) @ 115200 bps</w:t>
            </w:r>
          </w:p>
        </w:tc>
        <w:tc>
          <w:tcPr>
            <w:tcW w:type="dxa" w:w="4464"/>
            <w:shd w:fill="FFFFFF"/>
            <w:tcMar>
              <w:top w:w="60" w:type="dxa"/>
              <w:bottom w:w="60" w:type="dxa"/>
              <w:left w:w="100" w:type="dxa"/>
              <w:right w:w="100" w:type="dxa"/>
            </w:tcMar>
          </w:tcPr>
          <w:p>
            <w:pPr>
              <w:spacing w:line="276" w:lineRule="auto"/>
            </w:pPr>
            <w:r>
              <w:rPr>
                <w:rFonts w:ascii="Arial" w:hAnsi="Arial"/>
                <w:color w:val="334155"/>
                <w:sz w:val="18"/>
              </w:rPr>
              <w:t>Facilitates full-duplex communication: sends RFID badge IDs to laptop and receives ML threat predictions from Flask backend.</w:t>
            </w:r>
          </w:p>
        </w:tc>
      </w:tr>
      <w:tr>
        <w:tc>
          <w:tcPr>
            <w:tcW w:type="dxa" w:w="2592"/>
            <w:shd w:fill="F1F5F9"/>
            <w:tcMar>
              <w:top w:w="60" w:type="dxa"/>
              <w:bottom w:w="60" w:type="dxa"/>
              <w:left w:w="100" w:type="dxa"/>
              <w:right w:w="100" w:type="dxa"/>
            </w:tcMar>
          </w:tcPr>
          <w:p>
            <w:pPr>
              <w:spacing w:line="276" w:lineRule="auto"/>
            </w:pPr>
            <w:r>
              <w:rPr>
                <w:rFonts w:ascii="Arial" w:hAnsi="Arial"/>
                <w:b/>
                <w:color w:val="334155"/>
                <w:sz w:val="18"/>
              </w:rPr>
              <w:t>Power Supply Unit (PSU)</w:t>
            </w:r>
          </w:p>
        </w:tc>
        <w:tc>
          <w:tcPr>
            <w:tcW w:type="dxa" w:w="2304"/>
            <w:shd w:fill="F1F5F9"/>
            <w:tcMar>
              <w:top w:w="60" w:type="dxa"/>
              <w:bottom w:w="60" w:type="dxa"/>
              <w:left w:w="100" w:type="dxa"/>
              <w:right w:w="100" w:type="dxa"/>
            </w:tcMar>
          </w:tcPr>
          <w:p>
            <w:pPr>
              <w:spacing w:line="276" w:lineRule="auto"/>
            </w:pPr>
            <w:r>
              <w:rPr>
                <w:rFonts w:ascii="Arial" w:hAnsi="Arial"/>
                <w:color w:val="334155"/>
                <w:sz w:val="18"/>
              </w:rPr>
              <w:t>Regulated 5V DC (2.0A) / 3.3V LDO</w:t>
            </w:r>
          </w:p>
        </w:tc>
        <w:tc>
          <w:tcPr>
            <w:tcW w:type="dxa" w:w="4464"/>
            <w:shd w:fill="F1F5F9"/>
            <w:tcMar>
              <w:top w:w="60" w:type="dxa"/>
              <w:bottom w:w="60" w:type="dxa"/>
              <w:left w:w="100" w:type="dxa"/>
              <w:right w:w="100" w:type="dxa"/>
            </w:tcMar>
          </w:tcPr>
          <w:p>
            <w:pPr>
              <w:spacing w:line="276" w:lineRule="auto"/>
            </w:pPr>
            <w:r>
              <w:rPr>
                <w:rFonts w:ascii="Arial" w:hAnsi="Arial"/>
                <w:color w:val="334155"/>
                <w:sz w:val="18"/>
              </w:rPr>
              <w:t>Powers the ESP32 chip, LCD backlighting, camera sensor, and active buzzer without drawing excessive current from laptop USB ports.</w:t>
            </w:r>
          </w:p>
        </w:tc>
      </w:tr>
    </w:tbl>
    <w:p>
      <w:pPr>
        <w:spacing w:after="200"/>
      </w:pPr>
    </w:p>
    <w:p>
      <w:pPr>
        <w:keepNext/>
        <w:spacing w:before="360" w:after="160"/>
        <w:pBdr>
          <w:bottom w:val="single" w:sz="12" w:space="4" w:color="CBD5E1"/>
        </w:pBdr>
      </w:pPr>
      <w:r>
        <w:rPr>
          <w:rFonts w:ascii="Arial" w:hAnsi="Arial"/>
          <w:b/>
          <w:color w:val="0F172A"/>
          <w:sz w:val="32"/>
        </w:rPr>
        <w:t>CHAPTER 3: THE 17 HEURISTIC URL FEATURE VECTORS</w:t>
      </w:r>
    </w:p>
    <w:p>
      <w:pPr>
        <w:spacing w:before="0" w:after="120" w:line="276" w:lineRule="auto"/>
      </w:pPr>
      <w:r>
        <w:rPr>
          <w:rFonts w:ascii="Arial" w:hAnsi="Arial"/>
          <w:b w:val="0"/>
          <w:i w:val="0"/>
          <w:color w:val="334155"/>
          <w:sz w:val="20"/>
        </w:rPr>
        <w:t>A cornerstone of this project is the mathematical extraction of seventeen lexical and syntactic features from submitted URL strings. Crucially, the training pipeline (train_model.py) and the live Flask inference engine (app.py) utilize the exact same feature extraction module (feature_extraction.py), strictly maintaining the ordered feature vector: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76"/>
            <w:shd w:fill="0F172A"/>
            <w:tcMar>
              <w:top w:w="80" w:type="dxa"/>
              <w:bottom w:w="80" w:type="dxa"/>
              <w:left w:w="100" w:type="dxa"/>
              <w:right w:w="100" w:type="dxa"/>
            </w:tcMar>
          </w:tcPr>
          <w:p>
            <w:r>
              <w:rPr>
                <w:rFonts w:ascii="Arial" w:hAnsi="Arial"/>
                <w:b/>
                <w:color w:val="FFFFFF"/>
                <w:sz w:val="19"/>
              </w:rPr>
              <w:t>#</w:t>
            </w:r>
          </w:p>
        </w:tc>
        <w:tc>
          <w:tcPr>
            <w:tcW w:type="dxa" w:w="2880"/>
            <w:shd w:fill="0F172A"/>
            <w:tcMar>
              <w:top w:w="80" w:type="dxa"/>
              <w:bottom w:w="80" w:type="dxa"/>
              <w:left w:w="100" w:type="dxa"/>
              <w:right w:w="100" w:type="dxa"/>
            </w:tcMar>
          </w:tcPr>
          <w:p>
            <w:r>
              <w:rPr>
                <w:rFonts w:ascii="Arial" w:hAnsi="Arial"/>
                <w:b/>
                <w:color w:val="FFFFFF"/>
                <w:sz w:val="19"/>
              </w:rPr>
              <w:t>Feature Identifier</w:t>
            </w:r>
          </w:p>
        </w:tc>
        <w:tc>
          <w:tcPr>
            <w:tcW w:type="dxa" w:w="1440"/>
            <w:shd w:fill="0F172A"/>
            <w:tcMar>
              <w:top w:w="80" w:type="dxa"/>
              <w:bottom w:w="80" w:type="dxa"/>
              <w:left w:w="100" w:type="dxa"/>
              <w:right w:w="100" w:type="dxa"/>
            </w:tcMar>
          </w:tcPr>
          <w:p>
            <w:r>
              <w:rPr>
                <w:rFonts w:ascii="Arial" w:hAnsi="Arial"/>
                <w:b/>
                <w:color w:val="FFFFFF"/>
                <w:sz w:val="19"/>
              </w:rPr>
              <w:t>Data Type</w:t>
            </w:r>
          </w:p>
        </w:tc>
        <w:tc>
          <w:tcPr>
            <w:tcW w:type="dxa" w:w="4464"/>
            <w:shd w:fill="0F172A"/>
            <w:tcMar>
              <w:top w:w="80" w:type="dxa"/>
              <w:bottom w:w="80" w:type="dxa"/>
              <w:left w:w="100" w:type="dxa"/>
              <w:right w:w="100" w:type="dxa"/>
            </w:tcMar>
          </w:tcPr>
          <w:p>
            <w:r>
              <w:rPr>
                <w:rFonts w:ascii="Arial" w:hAnsi="Arial"/>
                <w:b/>
                <w:color w:val="FFFFFF"/>
                <w:sz w:val="19"/>
              </w:rPr>
              <w:t>Threat Significance &amp; Adversarial Vector</w:t>
            </w:r>
          </w:p>
        </w:tc>
      </w:tr>
      <w:tr>
        <w:tc>
          <w:tcPr>
            <w:tcW w:type="dxa" w:w="576"/>
            <w:shd w:fill="F1F5F9"/>
            <w:tcMar>
              <w:top w:w="50" w:type="dxa"/>
              <w:bottom w:w="50" w:type="dxa"/>
              <w:left w:w="80" w:type="dxa"/>
              <w:right w:w="80" w:type="dxa"/>
            </w:tcMar>
          </w:tcPr>
          <w:p>
            <w:pPr>
              <w:spacing w:line="276" w:lineRule="auto"/>
            </w:pPr>
            <w:r>
              <w:rPr>
                <w:rFonts w:ascii="Arial" w:hAnsi="Arial"/>
                <w:b/>
                <w:color w:val="334155"/>
                <w:sz w:val="17"/>
              </w:rPr>
              <w:t>1</w:t>
            </w:r>
          </w:p>
        </w:tc>
        <w:tc>
          <w:tcPr>
            <w:tcW w:type="dxa" w:w="2880"/>
            <w:shd w:fill="F1F5F9"/>
            <w:tcMar>
              <w:top w:w="50" w:type="dxa"/>
              <w:bottom w:w="50" w:type="dxa"/>
              <w:left w:w="80" w:type="dxa"/>
              <w:right w:w="80" w:type="dxa"/>
            </w:tcMar>
          </w:tcPr>
          <w:p>
            <w:pPr>
              <w:spacing w:line="276" w:lineRule="auto"/>
            </w:pPr>
            <w:r>
              <w:rPr>
                <w:rFonts w:ascii="Courier New" w:hAnsi="Courier New"/>
                <w:b/>
                <w:color w:val="334155"/>
                <w:sz w:val="17"/>
              </w:rPr>
              <w:t>url_length</w:t>
            </w:r>
          </w:p>
        </w:tc>
        <w:tc>
          <w:tcPr>
            <w:tcW w:type="dxa" w:w="1440"/>
            <w:shd w:fill="F1F5F9"/>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1F5F9"/>
            <w:tcMar>
              <w:top w:w="50" w:type="dxa"/>
              <w:bottom w:w="50" w:type="dxa"/>
              <w:left w:w="80" w:type="dxa"/>
              <w:right w:w="80" w:type="dxa"/>
            </w:tcMar>
          </w:tcPr>
          <w:p>
            <w:pPr>
              <w:spacing w:line="276" w:lineRule="auto"/>
            </w:pPr>
            <w:r>
              <w:rPr>
                <w:rFonts w:ascii="Arial" w:hAnsi="Arial"/>
                <w:color w:val="334155"/>
                <w:sz w:val="17"/>
              </w:rPr>
              <w:t>Extremely long URLs (&gt;75 chars) frequently hide malicious redirection tokens or deep nested directory paths.</w:t>
            </w:r>
          </w:p>
        </w:tc>
      </w:tr>
      <w:tr>
        <w:tc>
          <w:tcPr>
            <w:tcW w:type="dxa" w:w="576"/>
            <w:shd w:fill="FFFFFF"/>
            <w:tcMar>
              <w:top w:w="50" w:type="dxa"/>
              <w:bottom w:w="50" w:type="dxa"/>
              <w:left w:w="80" w:type="dxa"/>
              <w:right w:w="80" w:type="dxa"/>
            </w:tcMar>
          </w:tcPr>
          <w:p>
            <w:pPr>
              <w:spacing w:line="276" w:lineRule="auto"/>
            </w:pPr>
            <w:r>
              <w:rPr>
                <w:rFonts w:ascii="Arial" w:hAnsi="Arial"/>
                <w:b/>
                <w:color w:val="334155"/>
                <w:sz w:val="17"/>
              </w:rPr>
              <w:t>2</w:t>
            </w:r>
          </w:p>
        </w:tc>
        <w:tc>
          <w:tcPr>
            <w:tcW w:type="dxa" w:w="2880"/>
            <w:shd w:fill="FFFFFF"/>
            <w:tcMar>
              <w:top w:w="50" w:type="dxa"/>
              <w:bottom w:w="50" w:type="dxa"/>
              <w:left w:w="80" w:type="dxa"/>
              <w:right w:w="80" w:type="dxa"/>
            </w:tcMar>
          </w:tcPr>
          <w:p>
            <w:pPr>
              <w:spacing w:line="276" w:lineRule="auto"/>
            </w:pPr>
            <w:r>
              <w:rPr>
                <w:rFonts w:ascii="Courier New" w:hAnsi="Courier New"/>
                <w:b/>
                <w:color w:val="334155"/>
                <w:sz w:val="17"/>
              </w:rPr>
              <w:t>domain_length</w:t>
            </w:r>
          </w:p>
        </w:tc>
        <w:tc>
          <w:tcPr>
            <w:tcW w:type="dxa" w:w="1440"/>
            <w:shd w:fill="FFFFFF"/>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FFFFF"/>
            <w:tcMar>
              <w:top w:w="50" w:type="dxa"/>
              <w:bottom w:w="50" w:type="dxa"/>
              <w:left w:w="80" w:type="dxa"/>
              <w:right w:w="80" w:type="dxa"/>
            </w:tcMar>
          </w:tcPr>
          <w:p>
            <w:pPr>
              <w:spacing w:line="276" w:lineRule="auto"/>
            </w:pPr>
            <w:r>
              <w:rPr>
                <w:rFonts w:ascii="Arial" w:hAnsi="Arial"/>
                <w:color w:val="334155"/>
                <w:sz w:val="17"/>
              </w:rPr>
              <w:t>Long hostnames (&gt;30 chars) often pad legitimate brand names with deceptive descriptive suffixes to mislead users.</w:t>
            </w:r>
          </w:p>
        </w:tc>
      </w:tr>
      <w:tr>
        <w:tc>
          <w:tcPr>
            <w:tcW w:type="dxa" w:w="576"/>
            <w:shd w:fill="F1F5F9"/>
            <w:tcMar>
              <w:top w:w="50" w:type="dxa"/>
              <w:bottom w:w="50" w:type="dxa"/>
              <w:left w:w="80" w:type="dxa"/>
              <w:right w:w="80" w:type="dxa"/>
            </w:tcMar>
          </w:tcPr>
          <w:p>
            <w:pPr>
              <w:spacing w:line="276" w:lineRule="auto"/>
            </w:pPr>
            <w:r>
              <w:rPr>
                <w:rFonts w:ascii="Arial" w:hAnsi="Arial"/>
                <w:b/>
                <w:color w:val="334155"/>
                <w:sz w:val="17"/>
              </w:rPr>
              <w:t>3</w:t>
            </w:r>
          </w:p>
        </w:tc>
        <w:tc>
          <w:tcPr>
            <w:tcW w:type="dxa" w:w="2880"/>
            <w:shd w:fill="F1F5F9"/>
            <w:tcMar>
              <w:top w:w="50" w:type="dxa"/>
              <w:bottom w:w="50" w:type="dxa"/>
              <w:left w:w="80" w:type="dxa"/>
              <w:right w:w="80" w:type="dxa"/>
            </w:tcMar>
          </w:tcPr>
          <w:p>
            <w:pPr>
              <w:spacing w:line="276" w:lineRule="auto"/>
            </w:pPr>
            <w:r>
              <w:rPr>
                <w:rFonts w:ascii="Courier New" w:hAnsi="Courier New"/>
                <w:b/>
                <w:color w:val="334155"/>
                <w:sz w:val="17"/>
              </w:rPr>
              <w:t>num_dots</w:t>
            </w:r>
          </w:p>
        </w:tc>
        <w:tc>
          <w:tcPr>
            <w:tcW w:type="dxa" w:w="1440"/>
            <w:shd w:fill="F1F5F9"/>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1F5F9"/>
            <w:tcMar>
              <w:top w:w="50" w:type="dxa"/>
              <w:bottom w:w="50" w:type="dxa"/>
              <w:left w:w="80" w:type="dxa"/>
              <w:right w:w="80" w:type="dxa"/>
            </w:tcMar>
          </w:tcPr>
          <w:p>
            <w:pPr>
              <w:spacing w:line="276" w:lineRule="auto"/>
            </w:pPr>
            <w:r>
              <w:rPr>
                <w:rFonts w:ascii="Arial" w:hAnsi="Arial"/>
                <w:color w:val="334155"/>
                <w:sz w:val="17"/>
              </w:rPr>
              <w:t>Three or more dots in a URL usually indicate multi-level subdomains or disguised hosts.</w:t>
            </w:r>
          </w:p>
        </w:tc>
      </w:tr>
      <w:tr>
        <w:tc>
          <w:tcPr>
            <w:tcW w:type="dxa" w:w="576"/>
            <w:shd w:fill="FFFFFF"/>
            <w:tcMar>
              <w:top w:w="50" w:type="dxa"/>
              <w:bottom w:w="50" w:type="dxa"/>
              <w:left w:w="80" w:type="dxa"/>
              <w:right w:w="80" w:type="dxa"/>
            </w:tcMar>
          </w:tcPr>
          <w:p>
            <w:pPr>
              <w:spacing w:line="276" w:lineRule="auto"/>
            </w:pPr>
            <w:r>
              <w:rPr>
                <w:rFonts w:ascii="Arial" w:hAnsi="Arial"/>
                <w:b/>
                <w:color w:val="334155"/>
                <w:sz w:val="17"/>
              </w:rPr>
              <w:t>4</w:t>
            </w:r>
          </w:p>
        </w:tc>
        <w:tc>
          <w:tcPr>
            <w:tcW w:type="dxa" w:w="2880"/>
            <w:shd w:fill="FFFFFF"/>
            <w:tcMar>
              <w:top w:w="50" w:type="dxa"/>
              <w:bottom w:w="50" w:type="dxa"/>
              <w:left w:w="80" w:type="dxa"/>
              <w:right w:w="80" w:type="dxa"/>
            </w:tcMar>
          </w:tcPr>
          <w:p>
            <w:pPr>
              <w:spacing w:line="276" w:lineRule="auto"/>
            </w:pPr>
            <w:r>
              <w:rPr>
                <w:rFonts w:ascii="Courier New" w:hAnsi="Courier New"/>
                <w:b/>
                <w:color w:val="334155"/>
                <w:sz w:val="17"/>
              </w:rPr>
              <w:t>num_hyphens</w:t>
            </w:r>
          </w:p>
        </w:tc>
        <w:tc>
          <w:tcPr>
            <w:tcW w:type="dxa" w:w="1440"/>
            <w:shd w:fill="FFFFFF"/>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FFFFF"/>
            <w:tcMar>
              <w:top w:w="50" w:type="dxa"/>
              <w:bottom w:w="50" w:type="dxa"/>
              <w:left w:w="80" w:type="dxa"/>
              <w:right w:w="80" w:type="dxa"/>
            </w:tcMar>
          </w:tcPr>
          <w:p>
            <w:pPr>
              <w:spacing w:line="276" w:lineRule="auto"/>
            </w:pPr>
            <w:r>
              <w:rPr>
                <w:rFonts w:ascii="Arial" w:hAnsi="Arial"/>
                <w:color w:val="334155"/>
                <w:sz w:val="17"/>
              </w:rPr>
              <w:t>Hyphens in hostnames (e.g., paypal-security-update.com) are a classic trademark spoofing indicator.</w:t>
            </w:r>
          </w:p>
        </w:tc>
      </w:tr>
      <w:tr>
        <w:tc>
          <w:tcPr>
            <w:tcW w:type="dxa" w:w="576"/>
            <w:shd w:fill="F1F5F9"/>
            <w:tcMar>
              <w:top w:w="50" w:type="dxa"/>
              <w:bottom w:w="50" w:type="dxa"/>
              <w:left w:w="80" w:type="dxa"/>
              <w:right w:w="80" w:type="dxa"/>
            </w:tcMar>
          </w:tcPr>
          <w:p>
            <w:pPr>
              <w:spacing w:line="276" w:lineRule="auto"/>
            </w:pPr>
            <w:r>
              <w:rPr>
                <w:rFonts w:ascii="Arial" w:hAnsi="Arial"/>
                <w:b/>
                <w:color w:val="334155"/>
                <w:sz w:val="17"/>
              </w:rPr>
              <w:t>5</w:t>
            </w:r>
          </w:p>
        </w:tc>
        <w:tc>
          <w:tcPr>
            <w:tcW w:type="dxa" w:w="2880"/>
            <w:shd w:fill="F1F5F9"/>
            <w:tcMar>
              <w:top w:w="50" w:type="dxa"/>
              <w:bottom w:w="50" w:type="dxa"/>
              <w:left w:w="80" w:type="dxa"/>
              <w:right w:w="80" w:type="dxa"/>
            </w:tcMar>
          </w:tcPr>
          <w:p>
            <w:pPr>
              <w:spacing w:line="276" w:lineRule="auto"/>
            </w:pPr>
            <w:r>
              <w:rPr>
                <w:rFonts w:ascii="Courier New" w:hAnsi="Courier New"/>
                <w:b/>
                <w:color w:val="334155"/>
                <w:sz w:val="17"/>
              </w:rPr>
              <w:t>num_digits</w:t>
            </w:r>
          </w:p>
        </w:tc>
        <w:tc>
          <w:tcPr>
            <w:tcW w:type="dxa" w:w="1440"/>
            <w:shd w:fill="F1F5F9"/>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1F5F9"/>
            <w:tcMar>
              <w:top w:w="50" w:type="dxa"/>
              <w:bottom w:w="50" w:type="dxa"/>
              <w:left w:w="80" w:type="dxa"/>
              <w:right w:w="80" w:type="dxa"/>
            </w:tcMar>
          </w:tcPr>
          <w:p>
            <w:pPr>
              <w:spacing w:line="276" w:lineRule="auto"/>
            </w:pPr>
            <w:r>
              <w:rPr>
                <w:rFonts w:ascii="Arial" w:hAnsi="Arial"/>
                <w:color w:val="334155"/>
                <w:sz w:val="17"/>
              </w:rPr>
              <w:t>High digit counts represent autogenerated hashes, session IDs, or dynamic malware paths.</w:t>
            </w:r>
          </w:p>
        </w:tc>
      </w:tr>
      <w:tr>
        <w:tc>
          <w:tcPr>
            <w:tcW w:type="dxa" w:w="576"/>
            <w:shd w:fill="FFFFFF"/>
            <w:tcMar>
              <w:top w:w="50" w:type="dxa"/>
              <w:bottom w:w="50" w:type="dxa"/>
              <w:left w:w="80" w:type="dxa"/>
              <w:right w:w="80" w:type="dxa"/>
            </w:tcMar>
          </w:tcPr>
          <w:p>
            <w:pPr>
              <w:spacing w:line="276" w:lineRule="auto"/>
            </w:pPr>
            <w:r>
              <w:rPr>
                <w:rFonts w:ascii="Arial" w:hAnsi="Arial"/>
                <w:b/>
                <w:color w:val="334155"/>
                <w:sz w:val="17"/>
              </w:rPr>
              <w:t>6</w:t>
            </w:r>
          </w:p>
        </w:tc>
        <w:tc>
          <w:tcPr>
            <w:tcW w:type="dxa" w:w="2880"/>
            <w:shd w:fill="FFFFFF"/>
            <w:tcMar>
              <w:top w:w="50" w:type="dxa"/>
              <w:bottom w:w="50" w:type="dxa"/>
              <w:left w:w="80" w:type="dxa"/>
              <w:right w:w="80" w:type="dxa"/>
            </w:tcMar>
          </w:tcPr>
          <w:p>
            <w:pPr>
              <w:spacing w:line="276" w:lineRule="auto"/>
            </w:pPr>
            <w:r>
              <w:rPr>
                <w:rFonts w:ascii="Courier New" w:hAnsi="Courier New"/>
                <w:b/>
                <w:color w:val="334155"/>
                <w:sz w:val="17"/>
              </w:rPr>
              <w:t>has_ip_address</w:t>
            </w:r>
          </w:p>
        </w:tc>
        <w:tc>
          <w:tcPr>
            <w:tcW w:type="dxa" w:w="1440"/>
            <w:shd w:fill="FFFFFF"/>
            <w:tcMar>
              <w:top w:w="50" w:type="dxa"/>
              <w:bottom w:w="50" w:type="dxa"/>
              <w:left w:w="80" w:type="dxa"/>
              <w:right w:w="80" w:type="dxa"/>
            </w:tcMar>
          </w:tcPr>
          <w:p>
            <w:pPr>
              <w:spacing w:line="276" w:lineRule="auto"/>
            </w:pPr>
            <w:r>
              <w:rPr>
                <w:rFonts w:ascii="Arial" w:hAnsi="Arial"/>
                <w:color w:val="334155"/>
                <w:sz w:val="17"/>
              </w:rPr>
              <w:t>Binary (0/1)</w:t>
            </w:r>
          </w:p>
        </w:tc>
        <w:tc>
          <w:tcPr>
            <w:tcW w:type="dxa" w:w="4464"/>
            <w:shd w:fill="FFFFFF"/>
            <w:tcMar>
              <w:top w:w="50" w:type="dxa"/>
              <w:bottom w:w="50" w:type="dxa"/>
              <w:left w:w="80" w:type="dxa"/>
              <w:right w:w="80" w:type="dxa"/>
            </w:tcMar>
          </w:tcPr>
          <w:p>
            <w:pPr>
              <w:spacing w:line="276" w:lineRule="auto"/>
            </w:pPr>
            <w:r>
              <w:rPr>
                <w:rFonts w:ascii="Arial" w:hAnsi="Arial"/>
                <w:color w:val="334155"/>
                <w:sz w:val="17"/>
              </w:rPr>
              <w:t>Direct IPv4/IPv6 hosts (e.g., http://192.168.1.1/login) bypass domain registration WHOIS tracking.</w:t>
            </w:r>
          </w:p>
        </w:tc>
      </w:tr>
      <w:tr>
        <w:tc>
          <w:tcPr>
            <w:tcW w:type="dxa" w:w="576"/>
            <w:shd w:fill="F1F5F9"/>
            <w:tcMar>
              <w:top w:w="50" w:type="dxa"/>
              <w:bottom w:w="50" w:type="dxa"/>
              <w:left w:w="80" w:type="dxa"/>
              <w:right w:w="80" w:type="dxa"/>
            </w:tcMar>
          </w:tcPr>
          <w:p>
            <w:pPr>
              <w:spacing w:line="276" w:lineRule="auto"/>
            </w:pPr>
            <w:r>
              <w:rPr>
                <w:rFonts w:ascii="Arial" w:hAnsi="Arial"/>
                <w:b/>
                <w:color w:val="334155"/>
                <w:sz w:val="17"/>
              </w:rPr>
              <w:t>7</w:t>
            </w:r>
          </w:p>
        </w:tc>
        <w:tc>
          <w:tcPr>
            <w:tcW w:type="dxa" w:w="2880"/>
            <w:shd w:fill="F1F5F9"/>
            <w:tcMar>
              <w:top w:w="50" w:type="dxa"/>
              <w:bottom w:w="50" w:type="dxa"/>
              <w:left w:w="80" w:type="dxa"/>
              <w:right w:w="80" w:type="dxa"/>
            </w:tcMar>
          </w:tcPr>
          <w:p>
            <w:pPr>
              <w:spacing w:line="276" w:lineRule="auto"/>
            </w:pPr>
            <w:r>
              <w:rPr>
                <w:rFonts w:ascii="Courier New" w:hAnsi="Courier New"/>
                <w:b/>
                <w:color w:val="334155"/>
                <w:sz w:val="17"/>
              </w:rPr>
              <w:t>is_https</w:t>
            </w:r>
          </w:p>
        </w:tc>
        <w:tc>
          <w:tcPr>
            <w:tcW w:type="dxa" w:w="1440"/>
            <w:shd w:fill="F1F5F9"/>
            <w:tcMar>
              <w:top w:w="50" w:type="dxa"/>
              <w:bottom w:w="50" w:type="dxa"/>
              <w:left w:w="80" w:type="dxa"/>
              <w:right w:w="80" w:type="dxa"/>
            </w:tcMar>
          </w:tcPr>
          <w:p>
            <w:pPr>
              <w:spacing w:line="276" w:lineRule="auto"/>
            </w:pPr>
            <w:r>
              <w:rPr>
                <w:rFonts w:ascii="Arial" w:hAnsi="Arial"/>
                <w:color w:val="334155"/>
                <w:sz w:val="17"/>
              </w:rPr>
              <w:t>Binary (0/1)</w:t>
            </w:r>
          </w:p>
        </w:tc>
        <w:tc>
          <w:tcPr>
            <w:tcW w:type="dxa" w:w="4464"/>
            <w:shd w:fill="F1F5F9"/>
            <w:tcMar>
              <w:top w:w="50" w:type="dxa"/>
              <w:bottom w:w="50" w:type="dxa"/>
              <w:left w:w="80" w:type="dxa"/>
              <w:right w:w="80" w:type="dxa"/>
            </w:tcMar>
          </w:tcPr>
          <w:p>
            <w:pPr>
              <w:spacing w:line="276" w:lineRule="auto"/>
            </w:pPr>
            <w:r>
              <w:rPr>
                <w:rFonts w:ascii="Arial" w:hAnsi="Arial"/>
                <w:color w:val="334155"/>
                <w:sz w:val="17"/>
              </w:rPr>
              <w:t>Checks protocol encryption. Note: modern phishing pages may also use free TLS certificates.</w:t>
            </w:r>
          </w:p>
        </w:tc>
      </w:tr>
      <w:tr>
        <w:tc>
          <w:tcPr>
            <w:tcW w:type="dxa" w:w="576"/>
            <w:shd w:fill="FFFFFF"/>
            <w:tcMar>
              <w:top w:w="50" w:type="dxa"/>
              <w:bottom w:w="50" w:type="dxa"/>
              <w:left w:w="80" w:type="dxa"/>
              <w:right w:w="80" w:type="dxa"/>
            </w:tcMar>
          </w:tcPr>
          <w:p>
            <w:pPr>
              <w:spacing w:line="276" w:lineRule="auto"/>
            </w:pPr>
            <w:r>
              <w:rPr>
                <w:rFonts w:ascii="Arial" w:hAnsi="Arial"/>
                <w:b/>
                <w:color w:val="334155"/>
                <w:sz w:val="17"/>
              </w:rPr>
              <w:t>8</w:t>
            </w:r>
          </w:p>
        </w:tc>
        <w:tc>
          <w:tcPr>
            <w:tcW w:type="dxa" w:w="2880"/>
            <w:shd w:fill="FFFFFF"/>
            <w:tcMar>
              <w:top w:w="50" w:type="dxa"/>
              <w:bottom w:w="50" w:type="dxa"/>
              <w:left w:w="80" w:type="dxa"/>
              <w:right w:w="80" w:type="dxa"/>
            </w:tcMar>
          </w:tcPr>
          <w:p>
            <w:pPr>
              <w:spacing w:line="276" w:lineRule="auto"/>
            </w:pPr>
            <w:r>
              <w:rPr>
                <w:rFonts w:ascii="Courier New" w:hAnsi="Courier New"/>
                <w:b/>
                <w:color w:val="334155"/>
                <w:sz w:val="17"/>
              </w:rPr>
              <w:t>has_at_symbol</w:t>
            </w:r>
          </w:p>
        </w:tc>
        <w:tc>
          <w:tcPr>
            <w:tcW w:type="dxa" w:w="1440"/>
            <w:shd w:fill="FFFFFF"/>
            <w:tcMar>
              <w:top w:w="50" w:type="dxa"/>
              <w:bottom w:w="50" w:type="dxa"/>
              <w:left w:w="80" w:type="dxa"/>
              <w:right w:w="80" w:type="dxa"/>
            </w:tcMar>
          </w:tcPr>
          <w:p>
            <w:pPr>
              <w:spacing w:line="276" w:lineRule="auto"/>
            </w:pPr>
            <w:r>
              <w:rPr>
                <w:rFonts w:ascii="Arial" w:hAnsi="Arial"/>
                <w:color w:val="334155"/>
                <w:sz w:val="17"/>
              </w:rPr>
              <w:t>Binary (0/1)</w:t>
            </w:r>
          </w:p>
        </w:tc>
        <w:tc>
          <w:tcPr>
            <w:tcW w:type="dxa" w:w="4464"/>
            <w:shd w:fill="FFFFFF"/>
            <w:tcMar>
              <w:top w:w="50" w:type="dxa"/>
              <w:bottom w:w="50" w:type="dxa"/>
              <w:left w:w="80" w:type="dxa"/>
              <w:right w:w="80" w:type="dxa"/>
            </w:tcMar>
          </w:tcPr>
          <w:p>
            <w:pPr>
              <w:spacing w:line="276" w:lineRule="auto"/>
            </w:pPr>
            <w:r>
              <w:rPr>
                <w:rFonts w:ascii="Arial" w:hAnsi="Arial"/>
                <w:color w:val="334155"/>
                <w:sz w:val="17"/>
              </w:rPr>
              <w:t>RFC standards interpret text before '@' as credentials, routing browsers to the host after the symbol.</w:t>
            </w:r>
          </w:p>
        </w:tc>
      </w:tr>
      <w:tr>
        <w:tc>
          <w:tcPr>
            <w:tcW w:type="dxa" w:w="576"/>
            <w:shd w:fill="F1F5F9"/>
            <w:tcMar>
              <w:top w:w="50" w:type="dxa"/>
              <w:bottom w:w="50" w:type="dxa"/>
              <w:left w:w="80" w:type="dxa"/>
              <w:right w:w="80" w:type="dxa"/>
            </w:tcMar>
          </w:tcPr>
          <w:p>
            <w:pPr>
              <w:spacing w:line="276" w:lineRule="auto"/>
            </w:pPr>
            <w:r>
              <w:rPr>
                <w:rFonts w:ascii="Arial" w:hAnsi="Arial"/>
                <w:b/>
                <w:color w:val="334155"/>
                <w:sz w:val="17"/>
              </w:rPr>
              <w:t>9</w:t>
            </w:r>
          </w:p>
        </w:tc>
        <w:tc>
          <w:tcPr>
            <w:tcW w:type="dxa" w:w="2880"/>
            <w:shd w:fill="F1F5F9"/>
            <w:tcMar>
              <w:top w:w="50" w:type="dxa"/>
              <w:bottom w:w="50" w:type="dxa"/>
              <w:left w:w="80" w:type="dxa"/>
              <w:right w:w="80" w:type="dxa"/>
            </w:tcMar>
          </w:tcPr>
          <w:p>
            <w:pPr>
              <w:spacing w:line="276" w:lineRule="auto"/>
            </w:pPr>
            <w:r>
              <w:rPr>
                <w:rFonts w:ascii="Courier New" w:hAnsi="Courier New"/>
                <w:b/>
                <w:color w:val="334155"/>
                <w:sz w:val="17"/>
              </w:rPr>
              <w:t>num_suspicious_symbols</w:t>
            </w:r>
          </w:p>
        </w:tc>
        <w:tc>
          <w:tcPr>
            <w:tcW w:type="dxa" w:w="1440"/>
            <w:shd w:fill="F1F5F9"/>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1F5F9"/>
            <w:tcMar>
              <w:top w:w="50" w:type="dxa"/>
              <w:bottom w:w="50" w:type="dxa"/>
              <w:left w:w="80" w:type="dxa"/>
              <w:right w:w="80" w:type="dxa"/>
            </w:tcMar>
          </w:tcPr>
          <w:p>
            <w:pPr>
              <w:spacing w:line="276" w:lineRule="auto"/>
            </w:pPr>
            <w:r>
              <w:rPr>
                <w:rFonts w:ascii="Arial" w:hAnsi="Arial"/>
                <w:color w:val="334155"/>
                <w:sz w:val="17"/>
              </w:rPr>
              <w:t>Abundance of query delimiters (?, =, &amp;, %, ~, +, $) used in token and state transmission.</w:t>
            </w:r>
          </w:p>
        </w:tc>
      </w:tr>
      <w:tr>
        <w:tc>
          <w:tcPr>
            <w:tcW w:type="dxa" w:w="576"/>
            <w:shd w:fill="FFFFFF"/>
            <w:tcMar>
              <w:top w:w="50" w:type="dxa"/>
              <w:bottom w:w="50" w:type="dxa"/>
              <w:left w:w="80" w:type="dxa"/>
              <w:right w:w="80" w:type="dxa"/>
            </w:tcMar>
          </w:tcPr>
          <w:p>
            <w:pPr>
              <w:spacing w:line="276" w:lineRule="auto"/>
            </w:pPr>
            <w:r>
              <w:rPr>
                <w:rFonts w:ascii="Arial" w:hAnsi="Arial"/>
                <w:b/>
                <w:color w:val="334155"/>
                <w:sz w:val="17"/>
              </w:rPr>
              <w:t>10</w:t>
            </w:r>
          </w:p>
        </w:tc>
        <w:tc>
          <w:tcPr>
            <w:tcW w:type="dxa" w:w="2880"/>
            <w:shd w:fill="FFFFFF"/>
            <w:tcMar>
              <w:top w:w="50" w:type="dxa"/>
              <w:bottom w:w="50" w:type="dxa"/>
              <w:left w:w="80" w:type="dxa"/>
              <w:right w:w="80" w:type="dxa"/>
            </w:tcMar>
          </w:tcPr>
          <w:p>
            <w:pPr>
              <w:spacing w:line="276" w:lineRule="auto"/>
            </w:pPr>
            <w:r>
              <w:rPr>
                <w:rFonts w:ascii="Courier New" w:hAnsi="Courier New"/>
                <w:b/>
                <w:color w:val="334155"/>
                <w:sz w:val="17"/>
              </w:rPr>
              <w:t>num_subdomains</w:t>
            </w:r>
          </w:p>
        </w:tc>
        <w:tc>
          <w:tcPr>
            <w:tcW w:type="dxa" w:w="1440"/>
            <w:shd w:fill="FFFFFF"/>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FFFFF"/>
            <w:tcMar>
              <w:top w:w="50" w:type="dxa"/>
              <w:bottom w:w="50" w:type="dxa"/>
              <w:left w:w="80" w:type="dxa"/>
              <w:right w:w="80" w:type="dxa"/>
            </w:tcMar>
          </w:tcPr>
          <w:p>
            <w:pPr>
              <w:spacing w:line="276" w:lineRule="auto"/>
            </w:pPr>
            <w:r>
              <w:rPr>
                <w:rFonts w:ascii="Arial" w:hAnsi="Arial"/>
                <w:color w:val="334155"/>
                <w:sz w:val="17"/>
              </w:rPr>
              <w:t>Multiple subdomains (e.g., login.secure.bank.attacker.com) conceal the true root domain.</w:t>
            </w:r>
          </w:p>
        </w:tc>
      </w:tr>
      <w:tr>
        <w:tc>
          <w:tcPr>
            <w:tcW w:type="dxa" w:w="576"/>
            <w:shd w:fill="F1F5F9"/>
            <w:tcMar>
              <w:top w:w="50" w:type="dxa"/>
              <w:bottom w:w="50" w:type="dxa"/>
              <w:left w:w="80" w:type="dxa"/>
              <w:right w:w="80" w:type="dxa"/>
            </w:tcMar>
          </w:tcPr>
          <w:p>
            <w:pPr>
              <w:spacing w:line="276" w:lineRule="auto"/>
            </w:pPr>
            <w:r>
              <w:rPr>
                <w:rFonts w:ascii="Arial" w:hAnsi="Arial"/>
                <w:b/>
                <w:color w:val="334155"/>
                <w:sz w:val="17"/>
              </w:rPr>
              <w:t>11</w:t>
            </w:r>
          </w:p>
        </w:tc>
        <w:tc>
          <w:tcPr>
            <w:tcW w:type="dxa" w:w="2880"/>
            <w:shd w:fill="F1F5F9"/>
            <w:tcMar>
              <w:top w:w="50" w:type="dxa"/>
              <w:bottom w:w="50" w:type="dxa"/>
              <w:left w:w="80" w:type="dxa"/>
              <w:right w:w="80" w:type="dxa"/>
            </w:tcMar>
          </w:tcPr>
          <w:p>
            <w:pPr>
              <w:spacing w:line="276" w:lineRule="auto"/>
            </w:pPr>
            <w:r>
              <w:rPr>
                <w:rFonts w:ascii="Courier New" w:hAnsi="Courier New"/>
                <w:b/>
                <w:color w:val="334155"/>
                <w:sz w:val="17"/>
              </w:rPr>
              <w:t>is_shortened</w:t>
            </w:r>
          </w:p>
        </w:tc>
        <w:tc>
          <w:tcPr>
            <w:tcW w:type="dxa" w:w="1440"/>
            <w:shd w:fill="F1F5F9"/>
            <w:tcMar>
              <w:top w:w="50" w:type="dxa"/>
              <w:bottom w:w="50" w:type="dxa"/>
              <w:left w:w="80" w:type="dxa"/>
              <w:right w:w="80" w:type="dxa"/>
            </w:tcMar>
          </w:tcPr>
          <w:p>
            <w:pPr>
              <w:spacing w:line="276" w:lineRule="auto"/>
            </w:pPr>
            <w:r>
              <w:rPr>
                <w:rFonts w:ascii="Arial" w:hAnsi="Arial"/>
                <w:color w:val="334155"/>
                <w:sz w:val="17"/>
              </w:rPr>
              <w:t>Binary (0/1)</w:t>
            </w:r>
          </w:p>
        </w:tc>
        <w:tc>
          <w:tcPr>
            <w:tcW w:type="dxa" w:w="4464"/>
            <w:shd w:fill="F1F5F9"/>
            <w:tcMar>
              <w:top w:w="50" w:type="dxa"/>
              <w:bottom w:w="50" w:type="dxa"/>
              <w:left w:w="80" w:type="dxa"/>
              <w:right w:w="80" w:type="dxa"/>
            </w:tcMar>
          </w:tcPr>
          <w:p>
            <w:pPr>
              <w:spacing w:line="276" w:lineRule="auto"/>
            </w:pPr>
            <w:r>
              <w:rPr>
                <w:rFonts w:ascii="Arial" w:hAnsi="Arial"/>
                <w:color w:val="334155"/>
                <w:sz w:val="17"/>
              </w:rPr>
              <w:t>Shortening services (bit.ly, tinyurl, t.co) conceal destination domains from human inspection.</w:t>
            </w:r>
          </w:p>
        </w:tc>
      </w:tr>
      <w:tr>
        <w:tc>
          <w:tcPr>
            <w:tcW w:type="dxa" w:w="576"/>
            <w:shd w:fill="FFFFFF"/>
            <w:tcMar>
              <w:top w:w="50" w:type="dxa"/>
              <w:bottom w:w="50" w:type="dxa"/>
              <w:left w:w="80" w:type="dxa"/>
              <w:right w:w="80" w:type="dxa"/>
            </w:tcMar>
          </w:tcPr>
          <w:p>
            <w:pPr>
              <w:spacing w:line="276" w:lineRule="auto"/>
            </w:pPr>
            <w:r>
              <w:rPr>
                <w:rFonts w:ascii="Arial" w:hAnsi="Arial"/>
                <w:b/>
                <w:color w:val="334155"/>
                <w:sz w:val="17"/>
              </w:rPr>
              <w:t>12</w:t>
            </w:r>
          </w:p>
        </w:tc>
        <w:tc>
          <w:tcPr>
            <w:tcW w:type="dxa" w:w="2880"/>
            <w:shd w:fill="FFFFFF"/>
            <w:tcMar>
              <w:top w:w="50" w:type="dxa"/>
              <w:bottom w:w="50" w:type="dxa"/>
              <w:left w:w="80" w:type="dxa"/>
              <w:right w:w="80" w:type="dxa"/>
            </w:tcMar>
          </w:tcPr>
          <w:p>
            <w:pPr>
              <w:spacing w:line="276" w:lineRule="auto"/>
            </w:pPr>
            <w:r>
              <w:rPr>
                <w:rFonts w:ascii="Courier New" w:hAnsi="Courier New"/>
                <w:b/>
                <w:color w:val="334155"/>
                <w:sz w:val="17"/>
              </w:rPr>
              <w:t>path_length</w:t>
            </w:r>
          </w:p>
        </w:tc>
        <w:tc>
          <w:tcPr>
            <w:tcW w:type="dxa" w:w="1440"/>
            <w:shd w:fill="FFFFFF"/>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FFFFF"/>
            <w:tcMar>
              <w:top w:w="50" w:type="dxa"/>
              <w:bottom w:w="50" w:type="dxa"/>
              <w:left w:w="80" w:type="dxa"/>
              <w:right w:w="80" w:type="dxa"/>
            </w:tcMar>
          </w:tcPr>
          <w:p>
            <w:pPr>
              <w:spacing w:line="276" w:lineRule="auto"/>
            </w:pPr>
            <w:r>
              <w:rPr>
                <w:rFonts w:ascii="Arial" w:hAnsi="Arial"/>
                <w:color w:val="334155"/>
                <w:sz w:val="17"/>
              </w:rPr>
              <w:t>Deep directory paths indicate embedded credential harvesting landing pages.</w:t>
            </w:r>
          </w:p>
        </w:tc>
      </w:tr>
      <w:tr>
        <w:tc>
          <w:tcPr>
            <w:tcW w:type="dxa" w:w="576"/>
            <w:shd w:fill="F1F5F9"/>
            <w:tcMar>
              <w:top w:w="50" w:type="dxa"/>
              <w:bottom w:w="50" w:type="dxa"/>
              <w:left w:w="80" w:type="dxa"/>
              <w:right w:w="80" w:type="dxa"/>
            </w:tcMar>
          </w:tcPr>
          <w:p>
            <w:pPr>
              <w:spacing w:line="276" w:lineRule="auto"/>
            </w:pPr>
            <w:r>
              <w:rPr>
                <w:rFonts w:ascii="Arial" w:hAnsi="Arial"/>
                <w:b/>
                <w:color w:val="334155"/>
                <w:sz w:val="17"/>
              </w:rPr>
              <w:t>13</w:t>
            </w:r>
          </w:p>
        </w:tc>
        <w:tc>
          <w:tcPr>
            <w:tcW w:type="dxa" w:w="2880"/>
            <w:shd w:fill="F1F5F9"/>
            <w:tcMar>
              <w:top w:w="50" w:type="dxa"/>
              <w:bottom w:w="50" w:type="dxa"/>
              <w:left w:w="80" w:type="dxa"/>
              <w:right w:w="80" w:type="dxa"/>
            </w:tcMar>
          </w:tcPr>
          <w:p>
            <w:pPr>
              <w:spacing w:line="276" w:lineRule="auto"/>
            </w:pPr>
            <w:r>
              <w:rPr>
                <w:rFonts w:ascii="Courier New" w:hAnsi="Courier New"/>
                <w:b/>
                <w:color w:val="334155"/>
                <w:sz w:val="17"/>
              </w:rPr>
              <w:t>num_query_params</w:t>
            </w:r>
          </w:p>
        </w:tc>
        <w:tc>
          <w:tcPr>
            <w:tcW w:type="dxa" w:w="1440"/>
            <w:shd w:fill="F1F5F9"/>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1F5F9"/>
            <w:tcMar>
              <w:top w:w="50" w:type="dxa"/>
              <w:bottom w:w="50" w:type="dxa"/>
              <w:left w:w="80" w:type="dxa"/>
              <w:right w:w="80" w:type="dxa"/>
            </w:tcMar>
          </w:tcPr>
          <w:p>
            <w:pPr>
              <w:spacing w:line="276" w:lineRule="auto"/>
            </w:pPr>
            <w:r>
              <w:rPr>
                <w:rFonts w:ascii="Arial" w:hAnsi="Arial"/>
                <w:color w:val="334155"/>
                <w:sz w:val="17"/>
              </w:rPr>
              <w:t>Frequency of query parameters carrying session state or target identification hashes.</w:t>
            </w:r>
          </w:p>
        </w:tc>
      </w:tr>
      <w:tr>
        <w:tc>
          <w:tcPr>
            <w:tcW w:type="dxa" w:w="576"/>
            <w:shd w:fill="FFFFFF"/>
            <w:tcMar>
              <w:top w:w="50" w:type="dxa"/>
              <w:bottom w:w="50" w:type="dxa"/>
              <w:left w:w="80" w:type="dxa"/>
              <w:right w:w="80" w:type="dxa"/>
            </w:tcMar>
          </w:tcPr>
          <w:p>
            <w:pPr>
              <w:spacing w:line="276" w:lineRule="auto"/>
            </w:pPr>
            <w:r>
              <w:rPr>
                <w:rFonts w:ascii="Arial" w:hAnsi="Arial"/>
                <w:b/>
                <w:color w:val="334155"/>
                <w:sz w:val="17"/>
              </w:rPr>
              <w:t>14</w:t>
            </w:r>
          </w:p>
        </w:tc>
        <w:tc>
          <w:tcPr>
            <w:tcW w:type="dxa" w:w="2880"/>
            <w:shd w:fill="FFFFFF"/>
            <w:tcMar>
              <w:top w:w="50" w:type="dxa"/>
              <w:bottom w:w="50" w:type="dxa"/>
              <w:left w:w="80" w:type="dxa"/>
              <w:right w:w="80" w:type="dxa"/>
            </w:tcMar>
          </w:tcPr>
          <w:p>
            <w:pPr>
              <w:spacing w:line="276" w:lineRule="auto"/>
            </w:pPr>
            <w:r>
              <w:rPr>
                <w:rFonts w:ascii="Courier New" w:hAnsi="Courier New"/>
                <w:b/>
                <w:color w:val="334155"/>
                <w:sz w:val="17"/>
              </w:rPr>
              <w:t>has_sensitive_keywords</w:t>
            </w:r>
          </w:p>
        </w:tc>
        <w:tc>
          <w:tcPr>
            <w:tcW w:type="dxa" w:w="1440"/>
            <w:shd w:fill="FFFFFF"/>
            <w:tcMar>
              <w:top w:w="50" w:type="dxa"/>
              <w:bottom w:w="50" w:type="dxa"/>
              <w:left w:w="80" w:type="dxa"/>
              <w:right w:w="80" w:type="dxa"/>
            </w:tcMar>
          </w:tcPr>
          <w:p>
            <w:pPr>
              <w:spacing w:line="276" w:lineRule="auto"/>
            </w:pPr>
            <w:r>
              <w:rPr>
                <w:rFonts w:ascii="Arial" w:hAnsi="Arial"/>
                <w:color w:val="334155"/>
                <w:sz w:val="17"/>
              </w:rPr>
              <w:t>Float</w:t>
            </w:r>
          </w:p>
        </w:tc>
        <w:tc>
          <w:tcPr>
            <w:tcW w:type="dxa" w:w="4464"/>
            <w:shd w:fill="FFFFFF"/>
            <w:tcMar>
              <w:top w:w="50" w:type="dxa"/>
              <w:bottom w:w="50" w:type="dxa"/>
              <w:left w:w="80" w:type="dxa"/>
              <w:right w:w="80" w:type="dxa"/>
            </w:tcMar>
          </w:tcPr>
          <w:p>
            <w:pPr>
              <w:spacing w:line="276" w:lineRule="auto"/>
            </w:pPr>
            <w:r>
              <w:rPr>
                <w:rFonts w:ascii="Arial" w:hAnsi="Arial"/>
                <w:color w:val="334155"/>
                <w:sz w:val="17"/>
              </w:rPr>
              <w:t>Detects high-risk phishing keywords (login, verify, account, banking, secure, update, signin).</w:t>
            </w:r>
          </w:p>
        </w:tc>
      </w:tr>
      <w:tr>
        <w:tc>
          <w:tcPr>
            <w:tcW w:type="dxa" w:w="576"/>
            <w:shd w:fill="F1F5F9"/>
            <w:tcMar>
              <w:top w:w="50" w:type="dxa"/>
              <w:bottom w:w="50" w:type="dxa"/>
              <w:left w:w="80" w:type="dxa"/>
              <w:right w:w="80" w:type="dxa"/>
            </w:tcMar>
          </w:tcPr>
          <w:p>
            <w:pPr>
              <w:spacing w:line="276" w:lineRule="auto"/>
            </w:pPr>
            <w:r>
              <w:rPr>
                <w:rFonts w:ascii="Arial" w:hAnsi="Arial"/>
                <w:b/>
                <w:color w:val="334155"/>
                <w:sz w:val="17"/>
              </w:rPr>
              <w:t>15</w:t>
            </w:r>
          </w:p>
        </w:tc>
        <w:tc>
          <w:tcPr>
            <w:tcW w:type="dxa" w:w="2880"/>
            <w:shd w:fill="F1F5F9"/>
            <w:tcMar>
              <w:top w:w="50" w:type="dxa"/>
              <w:bottom w:w="50" w:type="dxa"/>
              <w:left w:w="80" w:type="dxa"/>
              <w:right w:w="80" w:type="dxa"/>
            </w:tcMar>
          </w:tcPr>
          <w:p>
            <w:pPr>
              <w:spacing w:line="276" w:lineRule="auto"/>
            </w:pPr>
            <w:r>
              <w:rPr>
                <w:rFonts w:ascii="Courier New" w:hAnsi="Courier New"/>
                <w:b/>
                <w:color w:val="334155"/>
                <w:sz w:val="17"/>
              </w:rPr>
              <w:t>has_double_slash_redirect</w:t>
            </w:r>
          </w:p>
        </w:tc>
        <w:tc>
          <w:tcPr>
            <w:tcW w:type="dxa" w:w="1440"/>
            <w:shd w:fill="F1F5F9"/>
            <w:tcMar>
              <w:top w:w="50" w:type="dxa"/>
              <w:bottom w:w="50" w:type="dxa"/>
              <w:left w:w="80" w:type="dxa"/>
              <w:right w:w="80" w:type="dxa"/>
            </w:tcMar>
          </w:tcPr>
          <w:p>
            <w:pPr>
              <w:spacing w:line="276" w:lineRule="auto"/>
            </w:pPr>
            <w:r>
              <w:rPr>
                <w:rFonts w:ascii="Arial" w:hAnsi="Arial"/>
                <w:color w:val="334155"/>
                <w:sz w:val="17"/>
              </w:rPr>
              <w:t>Binary (0/1)</w:t>
            </w:r>
          </w:p>
        </w:tc>
        <w:tc>
          <w:tcPr>
            <w:tcW w:type="dxa" w:w="4464"/>
            <w:shd w:fill="F1F5F9"/>
            <w:tcMar>
              <w:top w:w="50" w:type="dxa"/>
              <w:bottom w:w="50" w:type="dxa"/>
              <w:left w:w="80" w:type="dxa"/>
              <w:right w:w="80" w:type="dxa"/>
            </w:tcMar>
          </w:tcPr>
          <w:p>
            <w:pPr>
              <w:spacing w:line="276" w:lineRule="auto"/>
            </w:pPr>
            <w:r>
              <w:rPr>
                <w:rFonts w:ascii="Arial" w:hAnsi="Arial"/>
                <w:color w:val="334155"/>
                <w:sz w:val="17"/>
              </w:rPr>
              <w:t>Double slashes (//) within the URL path component can trigger open-redirect browser behaviors.</w:t>
            </w:r>
          </w:p>
        </w:tc>
      </w:tr>
      <w:tr>
        <w:tc>
          <w:tcPr>
            <w:tcW w:type="dxa" w:w="576"/>
            <w:shd w:fill="FFFFFF"/>
            <w:tcMar>
              <w:top w:w="50" w:type="dxa"/>
              <w:bottom w:w="50" w:type="dxa"/>
              <w:left w:w="80" w:type="dxa"/>
              <w:right w:w="80" w:type="dxa"/>
            </w:tcMar>
          </w:tcPr>
          <w:p>
            <w:pPr>
              <w:spacing w:line="276" w:lineRule="auto"/>
            </w:pPr>
            <w:r>
              <w:rPr>
                <w:rFonts w:ascii="Arial" w:hAnsi="Arial"/>
                <w:b/>
                <w:color w:val="334155"/>
                <w:sz w:val="17"/>
              </w:rPr>
              <w:t>16</w:t>
            </w:r>
          </w:p>
        </w:tc>
        <w:tc>
          <w:tcPr>
            <w:tcW w:type="dxa" w:w="2880"/>
            <w:shd w:fill="FFFFFF"/>
            <w:tcMar>
              <w:top w:w="50" w:type="dxa"/>
              <w:bottom w:w="50" w:type="dxa"/>
              <w:left w:w="80" w:type="dxa"/>
              <w:right w:w="80" w:type="dxa"/>
            </w:tcMar>
          </w:tcPr>
          <w:p>
            <w:pPr>
              <w:spacing w:line="276" w:lineRule="auto"/>
            </w:pPr>
            <w:r>
              <w:rPr>
                <w:rFonts w:ascii="Courier New" w:hAnsi="Courier New"/>
                <w:b/>
                <w:color w:val="334155"/>
                <w:sz w:val="17"/>
              </w:rPr>
              <w:t>prefix_suffix_hyphen</w:t>
            </w:r>
          </w:p>
        </w:tc>
        <w:tc>
          <w:tcPr>
            <w:tcW w:type="dxa" w:w="1440"/>
            <w:shd w:fill="FFFFFF"/>
            <w:tcMar>
              <w:top w:w="50" w:type="dxa"/>
              <w:bottom w:w="50" w:type="dxa"/>
              <w:left w:w="80" w:type="dxa"/>
              <w:right w:w="80" w:type="dxa"/>
            </w:tcMar>
          </w:tcPr>
          <w:p>
            <w:pPr>
              <w:spacing w:line="276" w:lineRule="auto"/>
            </w:pPr>
            <w:r>
              <w:rPr>
                <w:rFonts w:ascii="Arial" w:hAnsi="Arial"/>
                <w:color w:val="334155"/>
                <w:sz w:val="17"/>
              </w:rPr>
              <w:t>Binary (0/1)</w:t>
            </w:r>
          </w:p>
        </w:tc>
        <w:tc>
          <w:tcPr>
            <w:tcW w:type="dxa" w:w="4464"/>
            <w:shd w:fill="FFFFFF"/>
            <w:tcMar>
              <w:top w:w="50" w:type="dxa"/>
              <w:bottom w:w="50" w:type="dxa"/>
              <w:left w:w="80" w:type="dxa"/>
              <w:right w:w="80" w:type="dxa"/>
            </w:tcMar>
          </w:tcPr>
          <w:p>
            <w:pPr>
              <w:spacing w:line="276" w:lineRule="auto"/>
            </w:pPr>
            <w:r>
              <w:rPr>
                <w:rFonts w:ascii="Arial" w:hAnsi="Arial"/>
                <w:color w:val="334155"/>
                <w:sz w:val="17"/>
              </w:rPr>
              <w:t>Presence of hyphens within the domain portion specifically to mimic legitimate brand names.</w:t>
            </w:r>
          </w:p>
        </w:tc>
      </w:tr>
      <w:tr>
        <w:tc>
          <w:tcPr>
            <w:tcW w:type="dxa" w:w="576"/>
            <w:shd w:fill="F1F5F9"/>
            <w:tcMar>
              <w:top w:w="50" w:type="dxa"/>
              <w:bottom w:w="50" w:type="dxa"/>
              <w:left w:w="80" w:type="dxa"/>
              <w:right w:w="80" w:type="dxa"/>
            </w:tcMar>
          </w:tcPr>
          <w:p>
            <w:pPr>
              <w:spacing w:line="276" w:lineRule="auto"/>
            </w:pPr>
            <w:r>
              <w:rPr>
                <w:rFonts w:ascii="Arial" w:hAnsi="Arial"/>
                <w:b/>
                <w:color w:val="334155"/>
                <w:sz w:val="17"/>
              </w:rPr>
              <w:t>17</w:t>
            </w:r>
          </w:p>
        </w:tc>
        <w:tc>
          <w:tcPr>
            <w:tcW w:type="dxa" w:w="2880"/>
            <w:shd w:fill="F1F5F9"/>
            <w:tcMar>
              <w:top w:w="50" w:type="dxa"/>
              <w:bottom w:w="50" w:type="dxa"/>
              <w:left w:w="80" w:type="dxa"/>
              <w:right w:w="80" w:type="dxa"/>
            </w:tcMar>
          </w:tcPr>
          <w:p>
            <w:pPr>
              <w:spacing w:line="276" w:lineRule="auto"/>
            </w:pPr>
            <w:r>
              <w:rPr>
                <w:rFonts w:ascii="Courier New" w:hAnsi="Courier New"/>
                <w:b/>
                <w:color w:val="334155"/>
                <w:sz w:val="17"/>
              </w:rPr>
              <w:t>has_tld_in_subdomain</w:t>
            </w:r>
          </w:p>
        </w:tc>
        <w:tc>
          <w:tcPr>
            <w:tcW w:type="dxa" w:w="1440"/>
            <w:shd w:fill="F1F5F9"/>
            <w:tcMar>
              <w:top w:w="50" w:type="dxa"/>
              <w:bottom w:w="50" w:type="dxa"/>
              <w:left w:w="80" w:type="dxa"/>
              <w:right w:w="80" w:type="dxa"/>
            </w:tcMar>
          </w:tcPr>
          <w:p>
            <w:pPr>
              <w:spacing w:line="276" w:lineRule="auto"/>
            </w:pPr>
            <w:r>
              <w:rPr>
                <w:rFonts w:ascii="Arial" w:hAnsi="Arial"/>
                <w:color w:val="334155"/>
                <w:sz w:val="17"/>
              </w:rPr>
              <w:t>Binary (0/1)</w:t>
            </w:r>
          </w:p>
        </w:tc>
        <w:tc>
          <w:tcPr>
            <w:tcW w:type="dxa" w:w="4464"/>
            <w:shd w:fill="F1F5F9"/>
            <w:tcMar>
              <w:top w:w="50" w:type="dxa"/>
              <w:bottom w:w="50" w:type="dxa"/>
              <w:left w:w="80" w:type="dxa"/>
              <w:right w:w="80" w:type="dxa"/>
            </w:tcMar>
          </w:tcPr>
          <w:p>
            <w:pPr>
              <w:spacing w:line="276" w:lineRule="auto"/>
            </w:pPr>
            <w:r>
              <w:rPr>
                <w:rFonts w:ascii="Arial" w:hAnsi="Arial"/>
                <w:color w:val="334155"/>
                <w:sz w:val="17"/>
              </w:rPr>
              <w:t>Deceptive placement of .com or .org inside subdomains (e.g., google.com.malicious.net).</w:t>
            </w:r>
          </w:p>
        </w:tc>
      </w:tr>
    </w:tbl>
    <w:p>
      <w:pPr>
        <w:spacing w:after="200"/>
      </w:pPr>
    </w:p>
    <w:p>
      <w:pPr>
        <w:keepNext/>
        <w:spacing w:before="360" w:after="160"/>
        <w:pBdr>
          <w:bottom w:val="single" w:sz="12" w:space="4" w:color="CBD5E1"/>
        </w:pBdr>
      </w:pPr>
      <w:r>
        <w:rPr>
          <w:rFonts w:ascii="Arial" w:hAnsi="Arial"/>
          <w:b/>
          <w:color w:val="0F172A"/>
          <w:sz w:val="32"/>
        </w:rPr>
        <w:t>CHAPTER 4: MACHINE LEARNING EVALUATION &amp; GENERALIZATION</w:t>
      </w:r>
    </w:p>
    <w:p>
      <w:pPr>
        <w:keepNext/>
        <w:spacing w:before="280" w:after="120"/>
      </w:pPr>
      <w:r>
        <w:rPr>
          <w:rFonts w:ascii="Arial" w:hAnsi="Arial"/>
          <w:b/>
          <w:color w:val="2563EB"/>
          <w:sz w:val="26"/>
        </w:rPr>
        <w:t>4.1 Benchmark Dataset Provenance</w:t>
      </w:r>
    </w:p>
    <w:p>
      <w:pPr>
        <w:spacing w:before="0" w:after="120" w:line="276" w:lineRule="auto"/>
      </w:pPr>
      <w:r>
        <w:rPr>
          <w:rFonts w:ascii="Arial" w:hAnsi="Arial"/>
          <w:b w:val="0"/>
          <w:i w:val="0"/>
          <w:color w:val="334155"/>
          <w:sz w:val="20"/>
        </w:rPr>
        <w:t>The models were trained and tested on a curated dataset comprising 7,000 URLs: 3,500 legitimate URLs and 3,500 confirmed phishing URLs. Legitimate samples were extracted from Cisco OpenDNS top-10,000 domains (covering root landing pages, documentation, blogs, and query parameters) combined with the University of New Brunswick (UNB) CIC benign dataset. Phishing samples were compiled from PhishTank verified active archives and the OpenPhish community live feed.</w:t>
      </w:r>
    </w:p>
    <w:p>
      <w:pPr>
        <w:keepNext/>
        <w:spacing w:before="280" w:after="120"/>
      </w:pPr>
      <w:r>
        <w:rPr>
          <w:rFonts w:ascii="Arial" w:hAnsi="Arial"/>
          <w:b/>
          <w:color w:val="2563EB"/>
          <w:sz w:val="26"/>
        </w:rPr>
        <w:t>4.2 Multi-Algorithm Performance Benchmark</w:t>
      </w:r>
    </w:p>
    <w:p>
      <w:pPr>
        <w:spacing w:before="0" w:after="120" w:line="276" w:lineRule="auto"/>
      </w:pPr>
      <w:r>
        <w:rPr>
          <w:rFonts w:ascii="Arial" w:hAnsi="Arial"/>
          <w:b w:val="0"/>
          <w:i w:val="0"/>
          <w:color w:val="334155"/>
          <w:sz w:val="20"/>
        </w:rPr>
        <w:t>Four candidate machine learning algorithms were trained and evaluated on 1,400 held-out test samples (20% stratified test split). The empirical findings are summarized in Table 4.1.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880"/>
            <w:shd w:fill="0F172A"/>
            <w:tcMar>
              <w:top w:w="80" w:type="dxa"/>
              <w:bottom w:w="80" w:type="dxa"/>
              <w:left w:w="100" w:type="dxa"/>
              <w:right w:w="100" w:type="dxa"/>
            </w:tcMar>
          </w:tcPr>
          <w:p>
            <w:r>
              <w:rPr>
                <w:rFonts w:ascii="Arial" w:hAnsi="Arial"/>
                <w:b/>
                <w:color w:val="FFFFFF"/>
                <w:sz w:val="19"/>
              </w:rPr>
              <w:t>Model Architecture</w:t>
            </w:r>
          </w:p>
        </w:tc>
        <w:tc>
          <w:tcPr>
            <w:tcW w:type="dxa" w:w="1296"/>
            <w:shd w:fill="0F172A"/>
            <w:tcMar>
              <w:top w:w="80" w:type="dxa"/>
              <w:bottom w:w="80" w:type="dxa"/>
              <w:left w:w="100" w:type="dxa"/>
              <w:right w:w="100" w:type="dxa"/>
            </w:tcMar>
          </w:tcPr>
          <w:p>
            <w:r>
              <w:rPr>
                <w:rFonts w:ascii="Arial" w:hAnsi="Arial"/>
                <w:b/>
                <w:color w:val="FFFFFF"/>
                <w:sz w:val="19"/>
              </w:rPr>
              <w:t>Accuracy</w:t>
            </w:r>
          </w:p>
        </w:tc>
        <w:tc>
          <w:tcPr>
            <w:tcW w:type="dxa" w:w="1296"/>
            <w:shd w:fill="0F172A"/>
            <w:tcMar>
              <w:top w:w="80" w:type="dxa"/>
              <w:bottom w:w="80" w:type="dxa"/>
              <w:left w:w="100" w:type="dxa"/>
              <w:right w:w="100" w:type="dxa"/>
            </w:tcMar>
          </w:tcPr>
          <w:p>
            <w:r>
              <w:rPr>
                <w:rFonts w:ascii="Arial" w:hAnsi="Arial"/>
                <w:b/>
                <w:color w:val="FFFFFF"/>
                <w:sz w:val="19"/>
              </w:rPr>
              <w:t>Precision</w:t>
            </w:r>
          </w:p>
        </w:tc>
        <w:tc>
          <w:tcPr>
            <w:tcW w:type="dxa" w:w="1296"/>
            <w:shd w:fill="0F172A"/>
            <w:tcMar>
              <w:top w:w="80" w:type="dxa"/>
              <w:bottom w:w="80" w:type="dxa"/>
              <w:left w:w="100" w:type="dxa"/>
              <w:right w:w="100" w:type="dxa"/>
            </w:tcMar>
          </w:tcPr>
          <w:p>
            <w:r>
              <w:rPr>
                <w:rFonts w:ascii="Arial" w:hAnsi="Arial"/>
                <w:b/>
                <w:color w:val="FFFFFF"/>
                <w:sz w:val="19"/>
              </w:rPr>
              <w:t>Recall</w:t>
            </w:r>
          </w:p>
        </w:tc>
        <w:tc>
          <w:tcPr>
            <w:tcW w:type="dxa" w:w="1296"/>
            <w:shd w:fill="0F172A"/>
            <w:tcMar>
              <w:top w:w="80" w:type="dxa"/>
              <w:bottom w:w="80" w:type="dxa"/>
              <w:left w:w="100" w:type="dxa"/>
              <w:right w:w="100" w:type="dxa"/>
            </w:tcMar>
          </w:tcPr>
          <w:p>
            <w:r>
              <w:rPr>
                <w:rFonts w:ascii="Arial" w:hAnsi="Arial"/>
                <w:b/>
                <w:color w:val="FFFFFF"/>
                <w:sz w:val="19"/>
              </w:rPr>
              <w:t>F1-Score</w:t>
            </w:r>
          </w:p>
        </w:tc>
        <w:tc>
          <w:tcPr>
            <w:tcW w:type="dxa" w:w="1296"/>
            <w:shd w:fill="0F172A"/>
            <w:tcMar>
              <w:top w:w="80" w:type="dxa"/>
              <w:bottom w:w="80" w:type="dxa"/>
              <w:left w:w="100" w:type="dxa"/>
              <w:right w:w="100" w:type="dxa"/>
            </w:tcMar>
          </w:tcPr>
          <w:p>
            <w:r>
              <w:rPr>
                <w:rFonts w:ascii="Arial" w:hAnsi="Arial"/>
                <w:b/>
                <w:color w:val="FFFFFF"/>
                <w:sz w:val="19"/>
              </w:rPr>
              <w:t>ROC-AUC</w:t>
            </w:r>
          </w:p>
        </w:tc>
      </w:tr>
      <w:tr>
        <w:tc>
          <w:tcPr>
            <w:tcW w:type="dxa" w:w="2880"/>
            <w:shd w:fill="F0FDF4"/>
            <w:tcMar>
              <w:top w:w="60" w:type="dxa"/>
              <w:bottom w:w="60" w:type="dxa"/>
              <w:left w:w="100" w:type="dxa"/>
              <w:right w:w="100" w:type="dxa"/>
            </w:tcMar>
          </w:tcPr>
          <w:p>
            <w:pPr>
              <w:spacing w:line="276" w:lineRule="auto"/>
            </w:pPr>
            <w:r>
              <w:rPr>
                <w:rFonts w:ascii="Arial" w:hAnsi="Arial"/>
                <w:b/>
                <w:color w:val="334155"/>
                <w:sz w:val="18"/>
              </w:rPr>
              <w:t>Random Forest (Champion)</w:t>
            </w:r>
          </w:p>
        </w:tc>
        <w:tc>
          <w:tcPr>
            <w:tcW w:type="dxa" w:w="1296"/>
            <w:shd w:fill="F0FDF4"/>
            <w:tcMar>
              <w:top w:w="60" w:type="dxa"/>
              <w:bottom w:w="60" w:type="dxa"/>
              <w:left w:w="100" w:type="dxa"/>
              <w:right w:w="100" w:type="dxa"/>
            </w:tcMar>
          </w:tcPr>
          <w:p>
            <w:pPr>
              <w:spacing w:line="276" w:lineRule="auto"/>
            </w:pPr>
            <w:r>
              <w:rPr>
                <w:rFonts w:ascii="Arial" w:hAnsi="Arial"/>
                <w:color w:val="334155"/>
                <w:sz w:val="18"/>
              </w:rPr>
              <w:t>95.93%</w:t>
            </w:r>
          </w:p>
        </w:tc>
        <w:tc>
          <w:tcPr>
            <w:tcW w:type="dxa" w:w="1296"/>
            <w:shd w:fill="F0FDF4"/>
            <w:tcMar>
              <w:top w:w="60" w:type="dxa"/>
              <w:bottom w:w="60" w:type="dxa"/>
              <w:left w:w="100" w:type="dxa"/>
              <w:right w:w="100" w:type="dxa"/>
            </w:tcMar>
          </w:tcPr>
          <w:p>
            <w:pPr>
              <w:spacing w:line="276" w:lineRule="auto"/>
            </w:pPr>
            <w:r>
              <w:rPr>
                <w:rFonts w:ascii="Arial" w:hAnsi="Arial"/>
                <w:color w:val="334155"/>
                <w:sz w:val="18"/>
              </w:rPr>
              <w:t>97.49%</w:t>
            </w:r>
          </w:p>
        </w:tc>
        <w:tc>
          <w:tcPr>
            <w:tcW w:type="dxa" w:w="1296"/>
            <w:shd w:fill="F0FDF4"/>
            <w:tcMar>
              <w:top w:w="60" w:type="dxa"/>
              <w:bottom w:w="60" w:type="dxa"/>
              <w:left w:w="100" w:type="dxa"/>
              <w:right w:w="100" w:type="dxa"/>
            </w:tcMar>
          </w:tcPr>
          <w:p>
            <w:pPr>
              <w:spacing w:line="276" w:lineRule="auto"/>
            </w:pPr>
            <w:r>
              <w:rPr>
                <w:rFonts w:ascii="Arial" w:hAnsi="Arial"/>
                <w:color w:val="334155"/>
                <w:sz w:val="18"/>
              </w:rPr>
              <w:t>94.29%</w:t>
            </w:r>
          </w:p>
        </w:tc>
        <w:tc>
          <w:tcPr>
            <w:tcW w:type="dxa" w:w="1296"/>
            <w:shd w:fill="F0FDF4"/>
            <w:tcMar>
              <w:top w:w="60" w:type="dxa"/>
              <w:bottom w:w="60" w:type="dxa"/>
              <w:left w:w="100" w:type="dxa"/>
              <w:right w:w="100" w:type="dxa"/>
            </w:tcMar>
          </w:tcPr>
          <w:p>
            <w:pPr>
              <w:spacing w:line="276" w:lineRule="auto"/>
            </w:pPr>
            <w:r>
              <w:rPr>
                <w:rFonts w:ascii="Arial" w:hAnsi="Arial"/>
                <w:color w:val="334155"/>
                <w:sz w:val="18"/>
              </w:rPr>
              <w:t>95.86%</w:t>
            </w:r>
          </w:p>
        </w:tc>
        <w:tc>
          <w:tcPr>
            <w:tcW w:type="dxa" w:w="1296"/>
            <w:shd w:fill="F0FDF4"/>
            <w:tcMar>
              <w:top w:w="60" w:type="dxa"/>
              <w:bottom w:w="60" w:type="dxa"/>
              <w:left w:w="100" w:type="dxa"/>
              <w:right w:w="100" w:type="dxa"/>
            </w:tcMar>
          </w:tcPr>
          <w:p>
            <w:pPr>
              <w:spacing w:line="276" w:lineRule="auto"/>
            </w:pPr>
            <w:r>
              <w:rPr>
                <w:rFonts w:ascii="Arial" w:hAnsi="Arial"/>
                <w:color w:val="334155"/>
                <w:sz w:val="18"/>
              </w:rPr>
              <w:t>0.9934</w:t>
            </w:r>
          </w:p>
        </w:tc>
      </w:tr>
      <w:tr>
        <w:tc>
          <w:tcPr>
            <w:tcW w:type="dxa" w:w="2880"/>
            <w:shd w:fill="FFFFFF"/>
            <w:tcMar>
              <w:top w:w="60" w:type="dxa"/>
              <w:bottom w:w="60" w:type="dxa"/>
              <w:left w:w="100" w:type="dxa"/>
              <w:right w:w="100" w:type="dxa"/>
            </w:tcMar>
          </w:tcPr>
          <w:p>
            <w:pPr>
              <w:spacing w:line="276" w:lineRule="auto"/>
            </w:pPr>
            <w:r>
              <w:rPr>
                <w:rFonts w:ascii="Arial" w:hAnsi="Arial"/>
                <w:b/>
                <w:color w:val="334155"/>
                <w:sz w:val="18"/>
              </w:rPr>
              <w:t>Gradient Boosting</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95.79%</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97.48%</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94.00%</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95.71%</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0.9932</w:t>
            </w:r>
          </w:p>
        </w:tc>
      </w:tr>
      <w:tr>
        <w:tc>
          <w:tcPr>
            <w:tcW w:type="dxa" w:w="2880"/>
            <w:shd w:fill="F1F5F9"/>
            <w:tcMar>
              <w:top w:w="60" w:type="dxa"/>
              <w:bottom w:w="60" w:type="dxa"/>
              <w:left w:w="100" w:type="dxa"/>
              <w:right w:w="100" w:type="dxa"/>
            </w:tcMar>
          </w:tcPr>
          <w:p>
            <w:pPr>
              <w:spacing w:line="276" w:lineRule="auto"/>
            </w:pPr>
            <w:r>
              <w:rPr>
                <w:rFonts w:ascii="Arial" w:hAnsi="Arial"/>
                <w:b/>
                <w:color w:val="334155"/>
                <w:sz w:val="18"/>
              </w:rPr>
              <w:t>Decision Tree Classifier</w:t>
            </w:r>
          </w:p>
        </w:tc>
        <w:tc>
          <w:tcPr>
            <w:tcW w:type="dxa" w:w="1296"/>
            <w:shd w:fill="F1F5F9"/>
            <w:tcMar>
              <w:top w:w="60" w:type="dxa"/>
              <w:bottom w:w="60" w:type="dxa"/>
              <w:left w:w="100" w:type="dxa"/>
              <w:right w:w="100" w:type="dxa"/>
            </w:tcMar>
          </w:tcPr>
          <w:p>
            <w:pPr>
              <w:spacing w:line="276" w:lineRule="auto"/>
            </w:pPr>
            <w:r>
              <w:rPr>
                <w:rFonts w:ascii="Arial" w:hAnsi="Arial"/>
                <w:color w:val="334155"/>
                <w:sz w:val="18"/>
              </w:rPr>
              <w:t>94.71%</w:t>
            </w:r>
          </w:p>
        </w:tc>
        <w:tc>
          <w:tcPr>
            <w:tcW w:type="dxa" w:w="1296"/>
            <w:shd w:fill="F1F5F9"/>
            <w:tcMar>
              <w:top w:w="60" w:type="dxa"/>
              <w:bottom w:w="60" w:type="dxa"/>
              <w:left w:w="100" w:type="dxa"/>
              <w:right w:w="100" w:type="dxa"/>
            </w:tcMar>
          </w:tcPr>
          <w:p>
            <w:pPr>
              <w:spacing w:line="276" w:lineRule="auto"/>
            </w:pPr>
            <w:r>
              <w:rPr>
                <w:rFonts w:ascii="Arial" w:hAnsi="Arial"/>
                <w:color w:val="334155"/>
                <w:sz w:val="18"/>
              </w:rPr>
              <w:t>97.57%</w:t>
            </w:r>
          </w:p>
        </w:tc>
        <w:tc>
          <w:tcPr>
            <w:tcW w:type="dxa" w:w="1296"/>
            <w:shd w:fill="F1F5F9"/>
            <w:tcMar>
              <w:top w:w="60" w:type="dxa"/>
              <w:bottom w:w="60" w:type="dxa"/>
              <w:left w:w="100" w:type="dxa"/>
              <w:right w:w="100" w:type="dxa"/>
            </w:tcMar>
          </w:tcPr>
          <w:p>
            <w:pPr>
              <w:spacing w:line="276" w:lineRule="auto"/>
            </w:pPr>
            <w:r>
              <w:rPr>
                <w:rFonts w:ascii="Arial" w:hAnsi="Arial"/>
                <w:color w:val="334155"/>
                <w:sz w:val="18"/>
              </w:rPr>
              <w:t>91.71%</w:t>
            </w:r>
          </w:p>
        </w:tc>
        <w:tc>
          <w:tcPr>
            <w:tcW w:type="dxa" w:w="1296"/>
            <w:shd w:fill="F1F5F9"/>
            <w:tcMar>
              <w:top w:w="60" w:type="dxa"/>
              <w:bottom w:w="60" w:type="dxa"/>
              <w:left w:w="100" w:type="dxa"/>
              <w:right w:w="100" w:type="dxa"/>
            </w:tcMar>
          </w:tcPr>
          <w:p>
            <w:pPr>
              <w:spacing w:line="276" w:lineRule="auto"/>
            </w:pPr>
            <w:r>
              <w:rPr>
                <w:rFonts w:ascii="Arial" w:hAnsi="Arial"/>
                <w:color w:val="334155"/>
                <w:sz w:val="18"/>
              </w:rPr>
              <w:t>94.55%</w:t>
            </w:r>
          </w:p>
        </w:tc>
        <w:tc>
          <w:tcPr>
            <w:tcW w:type="dxa" w:w="1296"/>
            <w:shd w:fill="F1F5F9"/>
            <w:tcMar>
              <w:top w:w="60" w:type="dxa"/>
              <w:bottom w:w="60" w:type="dxa"/>
              <w:left w:w="100" w:type="dxa"/>
              <w:right w:w="100" w:type="dxa"/>
            </w:tcMar>
          </w:tcPr>
          <w:p>
            <w:pPr>
              <w:spacing w:line="276" w:lineRule="auto"/>
            </w:pPr>
            <w:r>
              <w:rPr>
                <w:rFonts w:ascii="Arial" w:hAnsi="Arial"/>
                <w:color w:val="334155"/>
                <w:sz w:val="18"/>
              </w:rPr>
              <w:t>0.9471</w:t>
            </w:r>
          </w:p>
        </w:tc>
      </w:tr>
      <w:tr>
        <w:tc>
          <w:tcPr>
            <w:tcW w:type="dxa" w:w="2880"/>
            <w:shd w:fill="FFFFFF"/>
            <w:tcMar>
              <w:top w:w="60" w:type="dxa"/>
              <w:bottom w:w="60" w:type="dxa"/>
              <w:left w:w="100" w:type="dxa"/>
              <w:right w:w="100" w:type="dxa"/>
            </w:tcMar>
          </w:tcPr>
          <w:p>
            <w:pPr>
              <w:spacing w:line="276" w:lineRule="auto"/>
            </w:pPr>
            <w:r>
              <w:rPr>
                <w:rFonts w:ascii="Arial" w:hAnsi="Arial"/>
                <w:b/>
                <w:color w:val="334155"/>
                <w:sz w:val="18"/>
              </w:rPr>
              <w:t>Logistic Regression</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83.71%</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84.91%</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82.00%</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83.43%</w:t>
            </w:r>
          </w:p>
        </w:tc>
        <w:tc>
          <w:tcPr>
            <w:tcW w:type="dxa" w:w="1296"/>
            <w:shd w:fill="FFFFFF"/>
            <w:tcMar>
              <w:top w:w="60" w:type="dxa"/>
              <w:bottom w:w="60" w:type="dxa"/>
              <w:left w:w="100" w:type="dxa"/>
              <w:right w:w="100" w:type="dxa"/>
            </w:tcMar>
          </w:tcPr>
          <w:p>
            <w:pPr>
              <w:spacing w:line="276" w:lineRule="auto"/>
            </w:pPr>
            <w:r>
              <w:rPr>
                <w:rFonts w:ascii="Arial" w:hAnsi="Arial"/>
                <w:color w:val="334155"/>
                <w:sz w:val="18"/>
              </w:rPr>
              <w:t>0.9168</w:t>
            </w:r>
          </w:p>
        </w:tc>
      </w:tr>
    </w:tbl>
    <w:p>
      <w:pPr>
        <w:spacing w:before="0" w:after="160" w:line="276" w:lineRule="auto"/>
      </w:pPr>
      <w:r>
        <w:rPr>
          <w:rFonts w:ascii="Arial" w:hAnsi="Arial"/>
          <w:b w:val="0"/>
          <w:i/>
          <w:color w:val="334155"/>
          <w:sz w:val="20"/>
        </w:rPr>
        <w:t>Table 4.1: Empirical Comparative Performance of Machine Learning Classifiers on Held-Out Test Data (N = 1,400)</w:t>
      </w:r>
    </w:p>
    <w:p>
      <w:pPr>
        <w:keepNext/>
        <w:spacing w:before="280" w:after="120"/>
      </w:pPr>
      <w:r>
        <w:rPr>
          <w:rFonts w:ascii="Arial" w:hAnsi="Arial"/>
          <w:b/>
          <w:color w:val="2563EB"/>
          <w:sz w:val="26"/>
        </w:rPr>
        <w:t>4.3 Confusion Matrix Analysis</w:t>
      </w:r>
    </w:p>
    <w:p>
      <w:pPr>
        <w:spacing w:before="0" w:after="120" w:line="276" w:lineRule="auto"/>
      </w:pPr>
      <w:r>
        <w:rPr>
          <w:rFonts w:ascii="Arial" w:hAnsi="Arial"/>
          <w:b w:val="0"/>
          <w:i w:val="0"/>
          <w:color w:val="334155"/>
          <w:sz w:val="20"/>
        </w:rPr>
        <w:t>The champion Random Forest classifier achieved the following distribution across the 1,400 test samples: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0F172A"/>
            <w:tcMar>
              <w:top w:w="80" w:type="dxa"/>
              <w:bottom w:w="80" w:type="dxa"/>
              <w:left w:w="100" w:type="dxa"/>
              <w:right w:w="100" w:type="dxa"/>
            </w:tcMar>
          </w:tcPr>
          <w:p>
            <w:pPr>
              <w:jc w:val="center"/>
            </w:pPr>
            <w:r>
              <w:rPr>
                <w:b/>
                <w:color w:val="FFFFFF"/>
              </w:rPr>
              <w:t>Actual \ Predicted</w:t>
            </w:r>
          </w:p>
        </w:tc>
        <w:tc>
          <w:tcPr>
            <w:tcW w:type="dxa" w:w="3168"/>
            <w:shd w:fill="0F172A"/>
            <w:tcMar>
              <w:top w:w="80" w:type="dxa"/>
              <w:bottom w:w="80" w:type="dxa"/>
              <w:left w:w="100" w:type="dxa"/>
              <w:right w:w="100" w:type="dxa"/>
            </w:tcMar>
          </w:tcPr>
          <w:p>
            <w:pPr>
              <w:jc w:val="center"/>
            </w:pPr>
            <w:r>
              <w:rPr>
                <w:b/>
                <w:color w:val="FFFFFF"/>
              </w:rPr>
              <w:t>Predicted Legitimate (0)</w:t>
            </w:r>
          </w:p>
        </w:tc>
        <w:tc>
          <w:tcPr>
            <w:tcW w:type="dxa" w:w="3168"/>
            <w:shd w:fill="0F172A"/>
            <w:tcMar>
              <w:top w:w="80" w:type="dxa"/>
              <w:bottom w:w="80" w:type="dxa"/>
              <w:left w:w="100" w:type="dxa"/>
              <w:right w:w="100" w:type="dxa"/>
            </w:tcMar>
          </w:tcPr>
          <w:p>
            <w:pPr>
              <w:jc w:val="center"/>
            </w:pPr>
            <w:r>
              <w:rPr>
                <w:b/>
                <w:color w:val="FFFFFF"/>
              </w:rPr>
              <w:t>Predicted Phishing (1)</w:t>
            </w:r>
          </w:p>
        </w:tc>
      </w:tr>
      <w:tr>
        <w:tc>
          <w:tcPr>
            <w:tcW w:type="dxa" w:w="3024"/>
            <w:shd w:fill="0F172A"/>
            <w:tcMar>
              <w:top w:w="80" w:type="dxa"/>
              <w:bottom w:w="80" w:type="dxa"/>
              <w:left w:w="100" w:type="dxa"/>
              <w:right w:w="100" w:type="dxa"/>
            </w:tcMar>
          </w:tcPr>
          <w:p>
            <w:pPr>
              <w:jc w:val="center"/>
            </w:pPr>
            <w:r>
              <w:rPr>
                <w:b/>
                <w:color w:val="FFFFFF"/>
              </w:rPr>
              <w:t>Actual Legitimate (0)</w:t>
            </w:r>
          </w:p>
        </w:tc>
        <w:tc>
          <w:tcPr>
            <w:tcW w:type="dxa" w:w="3168"/>
            <w:shd w:fill="F0FDF4"/>
            <w:tcMar>
              <w:top w:w="80" w:type="dxa"/>
              <w:bottom w:w="80" w:type="dxa"/>
              <w:left w:w="100" w:type="dxa"/>
              <w:right w:w="100" w:type="dxa"/>
            </w:tcMar>
          </w:tcPr>
          <w:p>
            <w:pPr>
              <w:jc w:val="center"/>
            </w:pPr>
            <w:r>
              <w:rPr>
                <w:b/>
                <w:color w:val="16A34A"/>
              </w:rPr>
              <w:t>True Negatives (TN): 683</w:t>
              <w:br/>
              <w:t>(Correctly Passed - 97.6%)</w:t>
            </w:r>
          </w:p>
        </w:tc>
        <w:tc>
          <w:tcPr>
            <w:tcW w:type="dxa" w:w="3168"/>
            <w:shd w:fill="FEF2F2"/>
            <w:tcMar>
              <w:top w:w="80" w:type="dxa"/>
              <w:bottom w:w="80" w:type="dxa"/>
              <w:left w:w="100" w:type="dxa"/>
              <w:right w:w="100" w:type="dxa"/>
            </w:tcMar>
          </w:tcPr>
          <w:p>
            <w:pPr>
              <w:jc w:val="center"/>
            </w:pPr>
            <w:r>
              <w:rPr>
                <w:b/>
                <w:color w:val="DC2626"/>
              </w:rPr>
              <w:t>False Positives (FP): 17</w:t>
              <w:br/>
              <w:t>(False Alarms - 2.4%)</w:t>
            </w:r>
          </w:p>
        </w:tc>
      </w:tr>
      <w:tr>
        <w:tc>
          <w:tcPr>
            <w:tcW w:type="dxa" w:w="3024"/>
            <w:shd w:fill="0F172A"/>
            <w:tcMar>
              <w:top w:w="80" w:type="dxa"/>
              <w:bottom w:w="80" w:type="dxa"/>
              <w:left w:w="100" w:type="dxa"/>
              <w:right w:w="100" w:type="dxa"/>
            </w:tcMar>
          </w:tcPr>
          <w:p>
            <w:pPr>
              <w:jc w:val="center"/>
            </w:pPr>
            <w:r>
              <w:rPr>
                <w:b/>
                <w:color w:val="FFFFFF"/>
              </w:rPr>
              <w:t>Actual Phishing (1)</w:t>
            </w:r>
          </w:p>
        </w:tc>
        <w:tc>
          <w:tcPr>
            <w:tcW w:type="dxa" w:w="3168"/>
            <w:shd w:fill="FEF2F2"/>
            <w:tcMar>
              <w:top w:w="80" w:type="dxa"/>
              <w:bottom w:w="80" w:type="dxa"/>
              <w:left w:w="100" w:type="dxa"/>
              <w:right w:w="100" w:type="dxa"/>
            </w:tcMar>
          </w:tcPr>
          <w:p>
            <w:pPr>
              <w:jc w:val="center"/>
            </w:pPr>
            <w:r>
              <w:rPr>
                <w:b/>
                <w:color w:val="DC2626"/>
              </w:rPr>
              <w:t>False Negatives (FN): 40</w:t>
              <w:br/>
              <w:t>(Missed Threats - 5.7%)</w:t>
            </w:r>
          </w:p>
        </w:tc>
        <w:tc>
          <w:tcPr>
            <w:tcW w:type="dxa" w:w="3168"/>
            <w:shd w:fill="F0FDF4"/>
            <w:tcMar>
              <w:top w:w="80" w:type="dxa"/>
              <w:bottom w:w="80" w:type="dxa"/>
              <w:left w:w="100" w:type="dxa"/>
              <w:right w:w="100" w:type="dxa"/>
            </w:tcMar>
          </w:tcPr>
          <w:p>
            <w:pPr>
              <w:jc w:val="center"/>
            </w:pPr>
            <w:r>
              <w:rPr>
                <w:b/>
                <w:color w:val="16A34A"/>
              </w:rPr>
              <w:t>True Positives (TP): 660</w:t>
              <w:br/>
              <w:t>(Threats Intercepted - 94.3%)</w:t>
            </w:r>
          </w:p>
        </w:tc>
      </w:tr>
    </w:tbl>
    <w:p>
      <w:pPr>
        <w:spacing w:after="160"/>
      </w:pPr>
    </w:p>
    <w:p>
      <w:pPr>
        <w:keepNext/>
        <w:spacing w:before="280" w:after="120"/>
      </w:pPr>
      <w:r>
        <w:rPr>
          <w:rFonts w:ascii="Arial" w:hAnsi="Arial"/>
          <w:b/>
          <w:color w:val="2563EB"/>
          <w:sz w:val="26"/>
        </w:rPr>
        <w:t>4.4 Academic Generalization: Domain-Disjoint Evaluation</w:t>
      </w:r>
    </w:p>
    <w:p>
      <w:pPr>
        <w:spacing w:before="0" w:after="120" w:line="276" w:lineRule="auto"/>
      </w:pPr>
      <w:r>
        <w:rPr>
          <w:rFonts w:ascii="Arial" w:hAnsi="Arial"/>
          <w:b w:val="0"/>
          <w:i w:val="0"/>
          <w:color w:val="334155"/>
          <w:sz w:val="20"/>
        </w:rPr>
        <w:t>A critical vulnerability in numerous published academic phishing detection systems is Domain-Level Data Leakage: when multiple URLs from the same domain (e.g. distractify.com or docs.google.com) reside in both the training set and the test set, the classifier can achieve artificially elevated accuracy simply by memorizing domain characteristics rather than learning generalizable lexical principles.</w:t>
      </w:r>
    </w:p>
    <w:p>
      <w:pPr>
        <w:spacing w:before="0" w:after="120" w:line="276" w:lineRule="auto"/>
      </w:pPr>
      <w:r>
        <w:rPr>
          <w:rFonts w:ascii="Arial" w:hAnsi="Arial"/>
          <w:b w:val="0"/>
          <w:i w:val="0"/>
          <w:color w:val="334155"/>
          <w:sz w:val="20"/>
        </w:rPr>
        <w:t>To rigorously eliminate this bias, we implemented a GroupShuffleSplit clustered on registered domain names. This partitioned the dataset such that 100% of domains in the test set were completely absent from the training set. Even under this strict zero-leakage constraint, the Random Forest model achieved:</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16A34A"/>
              <w:bottom w:val="none"/>
              <w:right w:val="none"/>
            </w:tcBorders>
          </w:tcPr>
          <w:p>
            <w:pPr>
              <w:spacing w:before="40" w:after="40" w:line="276" w:lineRule="auto"/>
            </w:pPr>
            <w:r>
              <w:rPr>
                <w:rFonts w:ascii="Arial" w:hAnsi="Arial"/>
                <w:b/>
                <w:color w:val="0F172A"/>
                <w:sz w:val="20"/>
              </w:rPr>
              <w:t xml:space="preserve">EMPIRICAL GENERALIZATION VERIFICATION: </w:t>
            </w:r>
            <w:r>
              <w:rPr>
                <w:rFonts w:ascii="Arial" w:hAnsi="Arial"/>
                <w:color w:val="334155"/>
                <w:sz w:val="19"/>
              </w:rPr>
              <w:t>Domain-Disjoint Test Samples: 1,360 URLs</w:t>
              <w:br/>
              <w:t>Domain Overlap between Train &amp; Test: EXACTLY ZERO (0)</w:t>
              <w:br/>
              <w:t>Disjoint Test Accuracy: 97.21%</w:t>
              <w:br/>
              <w:t>Disjoint Test Precision: 98.18%</w:t>
              <w:br/>
              <w:t>Disjoint Test Recall: 96.92%</w:t>
              <w:br/>
              <w:t>Disjoint Test F1-Score: 97.55%</w:t>
              <w:br/>
              <w:t>Confusion Matrix: True Negatives = 567, False Positives = 14, False Negatives = 24, True Positives = 755.</w:t>
            </w:r>
          </w:p>
        </w:tc>
      </w:tr>
    </w:tbl>
    <w:p>
      <w:pPr>
        <w:spacing w:after="120"/>
      </w:pPr>
    </w:p>
    <w:p>
      <w:pPr>
        <w:keepNext/>
        <w:spacing w:before="360" w:after="160"/>
        <w:pBdr>
          <w:bottom w:val="single" w:sz="12" w:space="4" w:color="CBD5E1"/>
        </w:pBdr>
      </w:pPr>
      <w:r>
        <w:rPr>
          <w:rFonts w:ascii="Arial" w:hAnsi="Arial"/>
          <w:b/>
          <w:color w:val="0F172A"/>
          <w:sz w:val="32"/>
        </w:rPr>
        <w:t>CHAPTER 5: SOFTWARE IMPLEMENTATION &amp; VERIFICATION</w:t>
      </w:r>
    </w:p>
    <w:p>
      <w:pPr>
        <w:keepNext/>
        <w:spacing w:before="280" w:after="120"/>
      </w:pPr>
      <w:r>
        <w:rPr>
          <w:rFonts w:ascii="Arial" w:hAnsi="Arial"/>
          <w:b/>
          <w:color w:val="2563EB"/>
          <w:sz w:val="26"/>
        </w:rPr>
        <w:t>5.1 Flask Backend &amp; Security Controls</w:t>
      </w:r>
    </w:p>
    <w:p>
      <w:pPr>
        <w:spacing w:before="0" w:after="120" w:line="276" w:lineRule="auto"/>
      </w:pPr>
      <w:r>
        <w:rPr>
          <w:rFonts w:ascii="Arial" w:hAnsi="Arial"/>
          <w:b w:val="0"/>
          <w:i w:val="0"/>
          <w:color w:val="334155"/>
          <w:sz w:val="20"/>
        </w:rPr>
        <w:t>The software architecture is engineered using Python Flask with production-grade cybersecurity safeguards:</w:t>
        <w:br/>
        <w:t>1. Input Sanitation: Strips carriage returns, newlines, and null bytes; enforces length limits (&lt;2048 chars).</w:t>
        <w:br/>
        <w:t>2. Protocol Whitelisting: Accepts only http:// and https://; explicitly rejects file:, data:, javascript:, and ftp:.</w:t>
        <w:br/>
        <w:t>3. Database Parameterization: Employs SQLite with parameterized '?' placeholders, guaranteeing protection against SQL Injection.</w:t>
        <w:br/>
        <w:t>4. Non-Destructive Offline Inference: The server never issues outbound HTTP GET/POST requests to analyzed targets, preventing drive-by exploits.</w:t>
        <w:br/>
        <w:t>5. Test Database Isolation: Unit test runs automatically redirect database operations to a temporary database, preventing the loss of user history.</w:t>
      </w:r>
    </w:p>
    <w:p>
      <w:pPr>
        <w:keepNext/>
        <w:spacing w:before="280" w:after="120"/>
      </w:pPr>
      <w:r>
        <w:rPr>
          <w:rFonts w:ascii="Arial" w:hAnsi="Arial"/>
          <w:b/>
          <w:color w:val="2563EB"/>
          <w:sz w:val="26"/>
        </w:rPr>
        <w:t>5.2 Automated Testing Results</w:t>
      </w:r>
    </w:p>
    <w:p>
      <w:pPr>
        <w:spacing w:before="0" w:after="120" w:line="276" w:lineRule="auto"/>
      </w:pPr>
      <w:r>
        <w:rPr>
          <w:rFonts w:ascii="Arial" w:hAnsi="Arial"/>
          <w:b w:val="0"/>
          <w:i w:val="0"/>
          <w:color w:val="334155"/>
          <w:sz w:val="20"/>
        </w:rPr>
        <w:t>The system incorporates an automated regression suite in test_system.py covering 43 distinct unit and integration test cases. Table 5.1 details the test execution breakdown.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172A"/>
            <w:tcMar>
              <w:top w:w="80" w:type="dxa"/>
              <w:bottom w:w="80" w:type="dxa"/>
              <w:left w:w="100" w:type="dxa"/>
              <w:right w:w="100" w:type="dxa"/>
            </w:tcMar>
          </w:tcPr>
          <w:p>
            <w:r>
              <w:rPr>
                <w:rFonts w:ascii="Arial" w:hAnsi="Arial"/>
                <w:b/>
                <w:color w:val="FFFFFF"/>
                <w:sz w:val="19"/>
              </w:rPr>
              <w:t>Test Category</w:t>
            </w:r>
          </w:p>
        </w:tc>
        <w:tc>
          <w:tcPr>
            <w:tcW w:type="dxa" w:w="3888"/>
            <w:shd w:fill="0F172A"/>
            <w:tcMar>
              <w:top w:w="80" w:type="dxa"/>
              <w:bottom w:w="80" w:type="dxa"/>
              <w:left w:w="100" w:type="dxa"/>
              <w:right w:w="100" w:type="dxa"/>
            </w:tcMar>
          </w:tcPr>
          <w:p>
            <w:r>
              <w:rPr>
                <w:rFonts w:ascii="Arial" w:hAnsi="Arial"/>
                <w:b/>
                <w:color w:val="FFFFFF"/>
                <w:sz w:val="19"/>
              </w:rPr>
              <w:t>Target Under Test</w:t>
            </w:r>
          </w:p>
        </w:tc>
        <w:tc>
          <w:tcPr>
            <w:tcW w:type="dxa" w:w="1440"/>
            <w:shd w:fill="0F172A"/>
            <w:tcMar>
              <w:top w:w="80" w:type="dxa"/>
              <w:bottom w:w="80" w:type="dxa"/>
              <w:left w:w="100" w:type="dxa"/>
              <w:right w:w="100" w:type="dxa"/>
            </w:tcMar>
          </w:tcPr>
          <w:p>
            <w:r>
              <w:rPr>
                <w:rFonts w:ascii="Arial" w:hAnsi="Arial"/>
                <w:b/>
                <w:color w:val="FFFFFF"/>
                <w:sz w:val="19"/>
              </w:rPr>
              <w:t>Cases Executed</w:t>
            </w:r>
          </w:p>
        </w:tc>
        <w:tc>
          <w:tcPr>
            <w:tcW w:type="dxa" w:w="1440"/>
            <w:shd w:fill="0F172A"/>
            <w:tcMar>
              <w:top w:w="80" w:type="dxa"/>
              <w:bottom w:w="80" w:type="dxa"/>
              <w:left w:w="100" w:type="dxa"/>
              <w:right w:w="100" w:type="dxa"/>
            </w:tcMar>
          </w:tcPr>
          <w:p>
            <w:r>
              <w:rPr>
                <w:rFonts w:ascii="Arial" w:hAnsi="Arial"/>
                <w:b/>
                <w:color w:val="FFFFFF"/>
                <w:sz w:val="19"/>
              </w:rPr>
              <w:t>Outcome</w:t>
            </w:r>
          </w:p>
        </w:tc>
      </w:tr>
      <w:tr>
        <w:tc>
          <w:tcPr>
            <w:tcW w:type="dxa" w:w="2592"/>
            <w:shd w:fill="F1F5F9"/>
            <w:tcMar>
              <w:top w:w="60" w:type="dxa"/>
              <w:bottom w:w="60" w:type="dxa"/>
              <w:left w:w="100" w:type="dxa"/>
              <w:right w:w="100" w:type="dxa"/>
            </w:tcMar>
          </w:tcPr>
          <w:p>
            <w:pPr>
              <w:spacing w:line="276" w:lineRule="auto"/>
            </w:pPr>
            <w:r>
              <w:rPr>
                <w:rFonts w:ascii="Arial" w:hAnsi="Arial"/>
                <w:color w:val="334155"/>
                <w:sz w:val="18"/>
              </w:rPr>
              <w:t>Feature Extraction</w:t>
            </w:r>
          </w:p>
        </w:tc>
        <w:tc>
          <w:tcPr>
            <w:tcW w:type="dxa" w:w="3888"/>
            <w:shd w:fill="F1F5F9"/>
            <w:tcMar>
              <w:top w:w="60" w:type="dxa"/>
              <w:bottom w:w="60" w:type="dxa"/>
              <w:left w:w="100" w:type="dxa"/>
              <w:right w:w="100" w:type="dxa"/>
            </w:tcMar>
          </w:tcPr>
          <w:p>
            <w:pPr>
              <w:spacing w:line="276" w:lineRule="auto"/>
            </w:pPr>
            <w:r>
              <w:rPr>
                <w:rFonts w:ascii="Arial" w:hAnsi="Arial"/>
                <w:color w:val="334155"/>
                <w:sz w:val="18"/>
              </w:rPr>
              <w:t>Individual verification of all 17 feature extractors (IPv4, IPv6, symbols, subdomains)</w:t>
            </w:r>
          </w:p>
        </w:tc>
        <w:tc>
          <w:tcPr>
            <w:tcW w:type="dxa" w:w="1440"/>
            <w:shd w:fill="F1F5F9"/>
            <w:tcMar>
              <w:top w:w="60" w:type="dxa"/>
              <w:bottom w:w="60" w:type="dxa"/>
              <w:left w:w="100" w:type="dxa"/>
              <w:right w:w="100" w:type="dxa"/>
            </w:tcMar>
          </w:tcPr>
          <w:p>
            <w:pPr>
              <w:spacing w:line="276" w:lineRule="auto"/>
            </w:pPr>
            <w:r>
              <w:rPr>
                <w:rFonts w:ascii="Arial" w:hAnsi="Arial"/>
                <w:color w:val="334155"/>
                <w:sz w:val="18"/>
              </w:rPr>
              <w:t>18</w:t>
            </w:r>
          </w:p>
        </w:tc>
        <w:tc>
          <w:tcPr>
            <w:tcW w:type="dxa" w:w="1440"/>
            <w:shd w:fill="F1F5F9"/>
            <w:tcMar>
              <w:top w:w="60" w:type="dxa"/>
              <w:bottom w:w="60" w:type="dxa"/>
              <w:left w:w="100" w:type="dxa"/>
              <w:right w:w="100" w:type="dxa"/>
            </w:tcMar>
          </w:tcPr>
          <w:p>
            <w:pPr>
              <w:spacing w:line="276" w:lineRule="auto"/>
            </w:pPr>
            <w:r>
              <w:rPr>
                <w:rFonts w:ascii="Arial" w:hAnsi="Arial"/>
                <w:b/>
                <w:color w:val="16A34A"/>
                <w:sz w:val="18"/>
              </w:rPr>
              <w:t>18/18 PASS</w:t>
            </w:r>
          </w:p>
        </w:tc>
      </w:tr>
      <w:tr>
        <w:tc>
          <w:tcPr>
            <w:tcW w:type="dxa" w:w="2592"/>
            <w:shd w:fill="FFFFFF"/>
            <w:tcMar>
              <w:top w:w="60" w:type="dxa"/>
              <w:bottom w:w="60" w:type="dxa"/>
              <w:left w:w="100" w:type="dxa"/>
              <w:right w:w="100" w:type="dxa"/>
            </w:tcMar>
          </w:tcPr>
          <w:p>
            <w:pPr>
              <w:spacing w:line="276" w:lineRule="auto"/>
            </w:pPr>
            <w:r>
              <w:rPr>
                <w:rFonts w:ascii="Arial" w:hAnsi="Arial"/>
                <w:color w:val="334155"/>
                <w:sz w:val="18"/>
              </w:rPr>
              <w:t>Input Validation</w:t>
            </w:r>
          </w:p>
        </w:tc>
        <w:tc>
          <w:tcPr>
            <w:tcW w:type="dxa" w:w="3888"/>
            <w:shd w:fill="FFFFFF"/>
            <w:tcMar>
              <w:top w:w="60" w:type="dxa"/>
              <w:bottom w:w="60" w:type="dxa"/>
              <w:left w:w="100" w:type="dxa"/>
              <w:right w:w="100" w:type="dxa"/>
            </w:tcMar>
          </w:tcPr>
          <w:p>
            <w:pPr>
              <w:spacing w:line="276" w:lineRule="auto"/>
            </w:pPr>
            <w:r>
              <w:rPr>
                <w:rFonts w:ascii="Arial" w:hAnsi="Arial"/>
                <w:color w:val="334155"/>
                <w:sz w:val="18"/>
              </w:rPr>
              <w:t>Disallowed schemes (javascript, file, ftp), empty, malformed hosts ('...'), length limit</w:t>
            </w:r>
          </w:p>
        </w:tc>
        <w:tc>
          <w:tcPr>
            <w:tcW w:type="dxa" w:w="1440"/>
            <w:shd w:fill="FFFFFF"/>
            <w:tcMar>
              <w:top w:w="60" w:type="dxa"/>
              <w:bottom w:w="60" w:type="dxa"/>
              <w:left w:w="100" w:type="dxa"/>
              <w:right w:w="100" w:type="dxa"/>
            </w:tcMar>
          </w:tcPr>
          <w:p>
            <w:pPr>
              <w:spacing w:line="276" w:lineRule="auto"/>
            </w:pPr>
            <w:r>
              <w:rPr>
                <w:rFonts w:ascii="Arial" w:hAnsi="Arial"/>
                <w:color w:val="334155"/>
                <w:sz w:val="18"/>
              </w:rPr>
              <w:t>6</w:t>
            </w:r>
          </w:p>
        </w:tc>
        <w:tc>
          <w:tcPr>
            <w:tcW w:type="dxa" w:w="1440"/>
            <w:shd w:fill="FFFFFF"/>
            <w:tcMar>
              <w:top w:w="60" w:type="dxa"/>
              <w:bottom w:w="60" w:type="dxa"/>
              <w:left w:w="100" w:type="dxa"/>
              <w:right w:w="100" w:type="dxa"/>
            </w:tcMar>
          </w:tcPr>
          <w:p>
            <w:pPr>
              <w:spacing w:line="276" w:lineRule="auto"/>
            </w:pPr>
            <w:r>
              <w:rPr>
                <w:rFonts w:ascii="Arial" w:hAnsi="Arial"/>
                <w:b/>
                <w:color w:val="16A34A"/>
                <w:sz w:val="18"/>
              </w:rPr>
              <w:t>6/6 PASS</w:t>
            </w:r>
          </w:p>
        </w:tc>
      </w:tr>
      <w:tr>
        <w:tc>
          <w:tcPr>
            <w:tcW w:type="dxa" w:w="2592"/>
            <w:shd w:fill="F1F5F9"/>
            <w:tcMar>
              <w:top w:w="60" w:type="dxa"/>
              <w:bottom w:w="60" w:type="dxa"/>
              <w:left w:w="100" w:type="dxa"/>
              <w:right w:w="100" w:type="dxa"/>
            </w:tcMar>
          </w:tcPr>
          <w:p>
            <w:pPr>
              <w:spacing w:line="276" w:lineRule="auto"/>
            </w:pPr>
            <w:r>
              <w:rPr>
                <w:rFonts w:ascii="Arial" w:hAnsi="Arial"/>
                <w:color w:val="334155"/>
                <w:sz w:val="18"/>
              </w:rPr>
              <w:t>Model Inference</w:t>
            </w:r>
          </w:p>
        </w:tc>
        <w:tc>
          <w:tcPr>
            <w:tcW w:type="dxa" w:w="3888"/>
            <w:shd w:fill="F1F5F9"/>
            <w:tcMar>
              <w:top w:w="60" w:type="dxa"/>
              <w:bottom w:w="60" w:type="dxa"/>
              <w:left w:w="100" w:type="dxa"/>
              <w:right w:w="100" w:type="dxa"/>
            </w:tcMar>
          </w:tcPr>
          <w:p>
            <w:pPr>
              <w:spacing w:line="276" w:lineRule="auto"/>
            </w:pPr>
            <w:r>
              <w:rPr>
                <w:rFonts w:ascii="Arial" w:hAnsi="Arial"/>
                <w:color w:val="334155"/>
                <w:sz w:val="18"/>
              </w:rPr>
              <w:t>Legitimate URL prediction, Phishing prediction, Mock model compute failure recovery</w:t>
            </w:r>
          </w:p>
        </w:tc>
        <w:tc>
          <w:tcPr>
            <w:tcW w:type="dxa" w:w="1440"/>
            <w:shd w:fill="F1F5F9"/>
            <w:tcMar>
              <w:top w:w="60" w:type="dxa"/>
              <w:bottom w:w="60" w:type="dxa"/>
              <w:left w:w="100" w:type="dxa"/>
              <w:right w:w="100" w:type="dxa"/>
            </w:tcMar>
          </w:tcPr>
          <w:p>
            <w:pPr>
              <w:spacing w:line="276" w:lineRule="auto"/>
            </w:pPr>
            <w:r>
              <w:rPr>
                <w:rFonts w:ascii="Arial" w:hAnsi="Arial"/>
                <w:color w:val="334155"/>
                <w:sz w:val="18"/>
              </w:rPr>
              <w:t>4</w:t>
            </w:r>
          </w:p>
        </w:tc>
        <w:tc>
          <w:tcPr>
            <w:tcW w:type="dxa" w:w="1440"/>
            <w:shd w:fill="F1F5F9"/>
            <w:tcMar>
              <w:top w:w="60" w:type="dxa"/>
              <w:bottom w:w="60" w:type="dxa"/>
              <w:left w:w="100" w:type="dxa"/>
              <w:right w:w="100" w:type="dxa"/>
            </w:tcMar>
          </w:tcPr>
          <w:p>
            <w:pPr>
              <w:spacing w:line="276" w:lineRule="auto"/>
            </w:pPr>
            <w:r>
              <w:rPr>
                <w:rFonts w:ascii="Arial" w:hAnsi="Arial"/>
                <w:b/>
                <w:color w:val="16A34A"/>
                <w:sz w:val="18"/>
              </w:rPr>
              <w:t>4/4 PASS</w:t>
            </w:r>
          </w:p>
        </w:tc>
      </w:tr>
      <w:tr>
        <w:tc>
          <w:tcPr>
            <w:tcW w:type="dxa" w:w="2592"/>
            <w:shd w:fill="FFFFFF"/>
            <w:tcMar>
              <w:top w:w="60" w:type="dxa"/>
              <w:bottom w:w="60" w:type="dxa"/>
              <w:left w:w="100" w:type="dxa"/>
              <w:right w:w="100" w:type="dxa"/>
            </w:tcMar>
          </w:tcPr>
          <w:p>
            <w:pPr>
              <w:spacing w:line="276" w:lineRule="auto"/>
            </w:pPr>
            <w:r>
              <w:rPr>
                <w:rFonts w:ascii="Arial" w:hAnsi="Arial"/>
                <w:color w:val="334155"/>
                <w:sz w:val="18"/>
              </w:rPr>
              <w:t>Database Security</w:t>
            </w:r>
          </w:p>
        </w:tc>
        <w:tc>
          <w:tcPr>
            <w:tcW w:type="dxa" w:w="3888"/>
            <w:shd w:fill="FFFFFF"/>
            <w:tcMar>
              <w:top w:w="60" w:type="dxa"/>
              <w:bottom w:w="60" w:type="dxa"/>
              <w:left w:w="100" w:type="dxa"/>
              <w:right w:w="100" w:type="dxa"/>
            </w:tcMar>
          </w:tcPr>
          <w:p>
            <w:pPr>
              <w:spacing w:line="276" w:lineRule="auto"/>
            </w:pPr>
            <w:r>
              <w:rPr>
                <w:rFonts w:ascii="Arial" w:hAnsi="Arial"/>
                <w:color w:val="334155"/>
                <w:sz w:val="18"/>
              </w:rPr>
              <w:t>Isolated DB insert, retrieve, search query filtering, and history clearing</w:t>
            </w:r>
          </w:p>
        </w:tc>
        <w:tc>
          <w:tcPr>
            <w:tcW w:type="dxa" w:w="1440"/>
            <w:shd w:fill="FFFFFF"/>
            <w:tcMar>
              <w:top w:w="60" w:type="dxa"/>
              <w:bottom w:w="60" w:type="dxa"/>
              <w:left w:w="100" w:type="dxa"/>
              <w:right w:w="100" w:type="dxa"/>
            </w:tcMar>
          </w:tcPr>
          <w:p>
            <w:pPr>
              <w:spacing w:line="276" w:lineRule="auto"/>
            </w:pPr>
            <w:r>
              <w:rPr>
                <w:rFonts w:ascii="Arial" w:hAnsi="Arial"/>
                <w:color w:val="334155"/>
                <w:sz w:val="18"/>
              </w:rPr>
              <w:t>1</w:t>
            </w:r>
          </w:p>
        </w:tc>
        <w:tc>
          <w:tcPr>
            <w:tcW w:type="dxa" w:w="1440"/>
            <w:shd w:fill="FFFFFF"/>
            <w:tcMar>
              <w:top w:w="60" w:type="dxa"/>
              <w:bottom w:w="60" w:type="dxa"/>
              <w:left w:w="100" w:type="dxa"/>
              <w:right w:w="100" w:type="dxa"/>
            </w:tcMar>
          </w:tcPr>
          <w:p>
            <w:pPr>
              <w:spacing w:line="276" w:lineRule="auto"/>
            </w:pPr>
            <w:r>
              <w:rPr>
                <w:rFonts w:ascii="Arial" w:hAnsi="Arial"/>
                <w:b/>
                <w:color w:val="16A34A"/>
                <w:sz w:val="18"/>
              </w:rPr>
              <w:t>1/1 PASS</w:t>
            </w:r>
          </w:p>
        </w:tc>
      </w:tr>
      <w:tr>
        <w:tc>
          <w:tcPr>
            <w:tcW w:type="dxa" w:w="2592"/>
            <w:shd w:fill="F1F5F9"/>
            <w:tcMar>
              <w:top w:w="60" w:type="dxa"/>
              <w:bottom w:w="60" w:type="dxa"/>
              <w:left w:w="100" w:type="dxa"/>
              <w:right w:w="100" w:type="dxa"/>
            </w:tcMar>
          </w:tcPr>
          <w:p>
            <w:pPr>
              <w:spacing w:line="276" w:lineRule="auto"/>
            </w:pPr>
            <w:r>
              <w:rPr>
                <w:rFonts w:ascii="Arial" w:hAnsi="Arial"/>
                <w:color w:val="334155"/>
                <w:sz w:val="18"/>
              </w:rPr>
              <w:t>HTTP Web Routes</w:t>
            </w:r>
          </w:p>
        </w:tc>
        <w:tc>
          <w:tcPr>
            <w:tcW w:type="dxa" w:w="3888"/>
            <w:shd w:fill="F1F5F9"/>
            <w:tcMar>
              <w:top w:w="60" w:type="dxa"/>
              <w:bottom w:w="60" w:type="dxa"/>
              <w:left w:w="100" w:type="dxa"/>
              <w:right w:w="100" w:type="dxa"/>
            </w:tcMar>
          </w:tcPr>
          <w:p>
            <w:pPr>
              <w:spacing w:line="276" w:lineRule="auto"/>
            </w:pPr>
            <w:r>
              <w:rPr>
                <w:rFonts w:ascii="Arial" w:hAnsi="Arial"/>
                <w:color w:val="334155"/>
                <w:sz w:val="18"/>
              </w:rPr>
              <w:t>GET /, /history, /model-performance, /about, /result, and custom 404 handler</w:t>
            </w:r>
          </w:p>
        </w:tc>
        <w:tc>
          <w:tcPr>
            <w:tcW w:type="dxa" w:w="1440"/>
            <w:shd w:fill="F1F5F9"/>
            <w:tcMar>
              <w:top w:w="60" w:type="dxa"/>
              <w:bottom w:w="60" w:type="dxa"/>
              <w:left w:w="100" w:type="dxa"/>
              <w:right w:w="100" w:type="dxa"/>
            </w:tcMar>
          </w:tcPr>
          <w:p>
            <w:pPr>
              <w:spacing w:line="276" w:lineRule="auto"/>
            </w:pPr>
            <w:r>
              <w:rPr>
                <w:rFonts w:ascii="Arial" w:hAnsi="Arial"/>
                <w:color w:val="334155"/>
                <w:sz w:val="18"/>
              </w:rPr>
              <w:t>8</w:t>
            </w:r>
          </w:p>
        </w:tc>
        <w:tc>
          <w:tcPr>
            <w:tcW w:type="dxa" w:w="1440"/>
            <w:shd w:fill="F1F5F9"/>
            <w:tcMar>
              <w:top w:w="60" w:type="dxa"/>
              <w:bottom w:w="60" w:type="dxa"/>
              <w:left w:w="100" w:type="dxa"/>
              <w:right w:w="100" w:type="dxa"/>
            </w:tcMar>
          </w:tcPr>
          <w:p>
            <w:pPr>
              <w:spacing w:line="276" w:lineRule="auto"/>
            </w:pPr>
            <w:r>
              <w:rPr>
                <w:rFonts w:ascii="Arial" w:hAnsi="Arial"/>
                <w:b/>
                <w:color w:val="16A34A"/>
                <w:sz w:val="18"/>
              </w:rPr>
              <w:t>8/8 PASS</w:t>
            </w:r>
          </w:p>
        </w:tc>
      </w:tr>
      <w:tr>
        <w:tc>
          <w:tcPr>
            <w:tcW w:type="dxa" w:w="2592"/>
            <w:shd w:fill="FFFFFF"/>
            <w:tcMar>
              <w:top w:w="60" w:type="dxa"/>
              <w:bottom w:w="60" w:type="dxa"/>
              <w:left w:w="100" w:type="dxa"/>
              <w:right w:w="100" w:type="dxa"/>
            </w:tcMar>
          </w:tcPr>
          <w:p>
            <w:pPr>
              <w:spacing w:line="276" w:lineRule="auto"/>
            </w:pPr>
            <w:r>
              <w:rPr>
                <w:rFonts w:ascii="Arial" w:hAnsi="Arial"/>
                <w:color w:val="334155"/>
                <w:sz w:val="18"/>
              </w:rPr>
              <w:t>REST API &amp; Method Safety</w:t>
            </w:r>
          </w:p>
        </w:tc>
        <w:tc>
          <w:tcPr>
            <w:tcW w:type="dxa" w:w="3888"/>
            <w:shd w:fill="FFFFFF"/>
            <w:tcMar>
              <w:top w:w="60" w:type="dxa"/>
              <w:bottom w:w="60" w:type="dxa"/>
              <w:left w:w="100" w:type="dxa"/>
              <w:right w:w="100" w:type="dxa"/>
            </w:tcMar>
          </w:tcPr>
          <w:p>
            <w:pPr>
              <w:spacing w:line="276" w:lineRule="auto"/>
            </w:pPr>
            <w:r>
              <w:rPr>
                <w:rFonts w:ascii="Arial" w:hAnsi="Arial"/>
                <w:color w:val="334155"/>
                <w:sz w:val="18"/>
              </w:rPr>
              <w:t>POST /api/analyze, invalid payload handling, disallowed GET on POST-only endpoints</w:t>
            </w:r>
          </w:p>
        </w:tc>
        <w:tc>
          <w:tcPr>
            <w:tcW w:type="dxa" w:w="1440"/>
            <w:shd w:fill="FFFFFF"/>
            <w:tcMar>
              <w:top w:w="60" w:type="dxa"/>
              <w:bottom w:w="60" w:type="dxa"/>
              <w:left w:w="100" w:type="dxa"/>
              <w:right w:w="100" w:type="dxa"/>
            </w:tcMar>
          </w:tcPr>
          <w:p>
            <w:pPr>
              <w:spacing w:line="276" w:lineRule="auto"/>
            </w:pPr>
            <w:r>
              <w:rPr>
                <w:rFonts w:ascii="Arial" w:hAnsi="Arial"/>
                <w:color w:val="334155"/>
                <w:sz w:val="18"/>
              </w:rPr>
              <w:t>6</w:t>
            </w:r>
          </w:p>
        </w:tc>
        <w:tc>
          <w:tcPr>
            <w:tcW w:type="dxa" w:w="1440"/>
            <w:shd w:fill="FFFFFF"/>
            <w:tcMar>
              <w:top w:w="60" w:type="dxa"/>
              <w:bottom w:w="60" w:type="dxa"/>
              <w:left w:w="100" w:type="dxa"/>
              <w:right w:w="100" w:type="dxa"/>
            </w:tcMar>
          </w:tcPr>
          <w:p>
            <w:pPr>
              <w:spacing w:line="276" w:lineRule="auto"/>
            </w:pPr>
            <w:r>
              <w:rPr>
                <w:rFonts w:ascii="Arial" w:hAnsi="Arial"/>
                <w:b/>
                <w:color w:val="16A34A"/>
                <w:sz w:val="18"/>
              </w:rPr>
              <w:t>6/6 PASS</w:t>
            </w:r>
          </w:p>
        </w:tc>
      </w:tr>
    </w:tbl>
    <w:p>
      <w:pPr>
        <w:spacing w:before="0" w:after="160" w:line="276" w:lineRule="auto"/>
      </w:pPr>
      <w:r>
        <w:rPr>
          <w:rFonts w:ascii="Arial" w:hAnsi="Arial"/>
          <w:b w:val="0"/>
          <w:i/>
          <w:color w:val="334155"/>
          <w:sz w:val="20"/>
        </w:rPr>
        <w:t>Table 5.1: Summary of Automated Unit &amp; Integration Testing Suite (Ran 43 tests in 1.28s - 100% Passing)</w:t>
      </w:r>
    </w:p>
    <w:p>
      <w:pPr>
        <w:keepNext/>
        <w:spacing w:before="360" w:after="160"/>
        <w:pBdr>
          <w:bottom w:val="single" w:sz="12" w:space="4" w:color="CBD5E1"/>
        </w:pBdr>
      </w:pPr>
      <w:r>
        <w:rPr>
          <w:rFonts w:ascii="Arial" w:hAnsi="Arial"/>
          <w:b/>
          <w:color w:val="0F172A"/>
          <w:sz w:val="32"/>
        </w:rPr>
        <w:t>CHAPTER 6: CONCLUSION &amp; ACADEMIC DEMONSTRATION</w:t>
      </w:r>
    </w:p>
    <w:p>
      <w:pPr>
        <w:spacing w:before="0" w:after="120" w:line="276" w:lineRule="auto"/>
      </w:pPr>
      <w:r>
        <w:rPr>
          <w:rFonts w:ascii="Arial" w:hAnsi="Arial"/>
          <w:b w:val="0"/>
          <w:i w:val="0"/>
          <w:color w:val="334155"/>
          <w:sz w:val="20"/>
        </w:rPr>
        <w:t>The 'Machine Learning Based Phishing Website Detection System' successfully addresses the challenges of detecting zero-hour fraudulent URLs without requiring dangerous live HTTP requests or relying on stale static blacklists. By integrating a 17-dimensional feature extractor, an empirically validated Random Forest classifier (95.93% accuracy, 97.21% domain-disjoint generalization), an offline SQLite scan history database, and an embedded IoT hardware alert subsystem (ESP32, RFID, LCD, Buzzer, Camera over UART), the project delivers an exemplary final-year academic contribution.</w:t>
      </w:r>
    </w:p>
    <w:p>
      <w:pPr>
        <w:keepNext/>
        <w:spacing w:before="280" w:after="120"/>
      </w:pPr>
      <w:r>
        <w:rPr>
          <w:rFonts w:ascii="Arial" w:hAnsi="Arial"/>
          <w:b/>
          <w:color w:val="2563EB"/>
          <w:sz w:val="26"/>
        </w:rPr>
        <w:t>6.1 Step-by-Step Demonstration Sequence</w:t>
      </w:r>
    </w:p>
    <w:p>
      <w:pPr>
        <w:pStyle w:val="ListBullet"/>
        <w:spacing w:after="80"/>
      </w:pPr>
      <w:r>
        <w:rPr>
          <w:rFonts w:ascii="Arial" w:hAnsi="Arial"/>
          <w:b/>
          <w:color w:val="2563EB"/>
          <w:sz w:val="19"/>
        </w:rPr>
        <w:t xml:space="preserve">Step 1: Start Application: </w:t>
      </w:r>
      <w:r>
        <w:rPr>
          <w:rFonts w:ascii="Arial" w:hAnsi="Arial"/>
          <w:color w:val="334155"/>
          <w:sz w:val="19"/>
        </w:rPr>
        <w:t>In PowerShell, execute 'python app.py' to launch the web dashboard at http://127.0.0.1:5000.</w:t>
      </w:r>
    </w:p>
    <w:p>
      <w:pPr>
        <w:pStyle w:val="ListBullet"/>
        <w:spacing w:after="80"/>
      </w:pPr>
      <w:r>
        <w:rPr>
          <w:rFonts w:ascii="Arial" w:hAnsi="Arial"/>
          <w:b/>
          <w:color w:val="2563EB"/>
          <w:sz w:val="19"/>
        </w:rPr>
        <w:t xml:space="preserve">Step 2: Safe Domain Inspection: </w:t>
      </w:r>
      <w:r>
        <w:rPr>
          <w:rFonts w:ascii="Arial" w:hAnsi="Arial"/>
          <w:color w:val="334155"/>
          <w:sz w:val="19"/>
        </w:rPr>
        <w:t>Click the 'Google (Safe)' or 'Wikipedia (Safe)' sample pill and select 'Analyze Website'. Demonstrate the emerald green 'CLASSIFIED LEGITIMATE' badge, confidence score, and feature diagnostic breakdown.</w:t>
      </w:r>
    </w:p>
    <w:p>
      <w:pPr>
        <w:pStyle w:val="ListBullet"/>
        <w:spacing w:after="80"/>
      </w:pPr>
      <w:r>
        <w:rPr>
          <w:rFonts w:ascii="Arial" w:hAnsi="Arial"/>
          <w:b/>
          <w:color w:val="2563EB"/>
          <w:sz w:val="19"/>
        </w:rPr>
        <w:t xml:space="preserve">Step 3: Phishing Threat Detection: </w:t>
      </w:r>
      <w:r>
        <w:rPr>
          <w:rFonts w:ascii="Arial" w:hAnsi="Arial"/>
          <w:color w:val="334155"/>
          <w:sz w:val="19"/>
        </w:rPr>
        <w:t>Enter 'http://192.168.1.1/paypal-login/verification.php?cmd=_login_submit'. Show the crimson 'SUSPECTED PHISHING THREAT' verdict, threat confidence (&gt;99%), and highlight how the presence of an IP host and sensitive keywords triggered the model.</w:t>
      </w:r>
    </w:p>
    <w:p>
      <w:pPr>
        <w:pStyle w:val="ListBullet"/>
        <w:spacing w:after="80"/>
      </w:pPr>
      <w:r>
        <w:rPr>
          <w:rFonts w:ascii="Arial" w:hAnsi="Arial"/>
          <w:b/>
          <w:color w:val="2563EB"/>
          <w:sz w:val="19"/>
        </w:rPr>
        <w:t xml:space="preserve">Step 4: Scan History Inspection: </w:t>
      </w:r>
      <w:r>
        <w:rPr>
          <w:rFonts w:ascii="Arial" w:hAnsi="Arial"/>
          <w:color w:val="334155"/>
          <w:sz w:val="19"/>
        </w:rPr>
        <w:t>Navigate to 'Scan History' to show persistent SQLite logging. Demonstrate real-time search filtering (e.g. searching 'paypal' or 'google').</w:t>
      </w:r>
    </w:p>
    <w:p>
      <w:pPr>
        <w:pStyle w:val="ListBullet"/>
        <w:spacing w:after="80"/>
      </w:pPr>
      <w:r>
        <w:rPr>
          <w:rFonts w:ascii="Arial" w:hAnsi="Arial"/>
          <w:b/>
          <w:color w:val="2563EB"/>
          <w:sz w:val="19"/>
        </w:rPr>
        <w:t xml:space="preserve">Step 5: Model Performance Review: </w:t>
      </w:r>
      <w:r>
        <w:rPr>
          <w:rFonts w:ascii="Arial" w:hAnsi="Arial"/>
          <w:color w:val="334155"/>
          <w:sz w:val="19"/>
        </w:rPr>
        <w:t>Open 'Model Performance' to present the live confusion matrix, multi-algorithm comparison chart, feature importance weights, and the Academic Generalization card.</w:t>
      </w:r>
    </w:p>
    <w:p>
      <w:pPr>
        <w:pStyle w:val="ListBullet"/>
        <w:spacing w:after="80"/>
      </w:pPr>
      <w:r>
        <w:rPr>
          <w:rFonts w:ascii="Arial" w:hAnsi="Arial"/>
          <w:b/>
          <w:color w:val="2563EB"/>
          <w:sz w:val="19"/>
        </w:rPr>
        <w:t xml:space="preserve">Step 6: Automated Test Verification: </w:t>
      </w:r>
      <w:r>
        <w:rPr>
          <w:rFonts w:ascii="Arial" w:hAnsi="Arial"/>
          <w:color w:val="334155"/>
          <w:sz w:val="19"/>
        </w:rPr>
        <w:t>In the terminal, execute 'python test_system.py' to prove that all 43 tests pass cleanly in under 2 seconds without erasing user scan history.</w:t>
      </w:r>
    </w:p>
    <w:p>
      <w:pPr>
        <w:keepNext/>
        <w:spacing w:before="360" w:after="160"/>
        <w:pBdr>
          <w:bottom w:val="single" w:sz="12" w:space="4" w:color="CBD5E1"/>
        </w:pBdr>
      </w:pPr>
      <w:r>
        <w:rPr>
          <w:rFonts w:ascii="Arial" w:hAnsi="Arial"/>
          <w:b/>
          <w:color w:val="0F172A"/>
          <w:sz w:val="32"/>
        </w:rPr>
        <w:t>REFERENCES</w:t>
      </w:r>
    </w:p>
    <w:p>
      <w:pPr>
        <w:spacing w:after="80"/>
      </w:pPr>
      <w:r>
        <w:rPr>
          <w:rFonts w:ascii="Arial" w:hAnsi="Arial"/>
          <w:color w:val="334155"/>
          <w:sz w:val="18"/>
        </w:rPr>
        <w:t>1. Anti-Phishing Working Group (APWG). (2025). 'Phishing Activity Trends Report, 4th Quarter 2024.' APWG Technical Committee.</w:t>
      </w:r>
    </w:p>
    <w:p>
      <w:pPr>
        <w:spacing w:after="80"/>
      </w:pPr>
      <w:r>
        <w:rPr>
          <w:rFonts w:ascii="Arial" w:hAnsi="Arial"/>
          <w:color w:val="334155"/>
          <w:sz w:val="18"/>
        </w:rPr>
        <w:t>2. University of New Brunswick (UNB) Canadian Institute for Cybersecurity (CIC). (2016). 'URL-2016 Dataset: Benign, Spam, Phishing, and Malware URLs.'</w:t>
      </w:r>
    </w:p>
    <w:p>
      <w:pPr>
        <w:spacing w:after="80"/>
      </w:pPr>
      <w:r>
        <w:rPr>
          <w:rFonts w:ascii="Arial" w:hAnsi="Arial"/>
          <w:color w:val="334155"/>
          <w:sz w:val="18"/>
        </w:rPr>
        <w:t>3. PhishTank Developer Archive. (2024). 'Verified Online Valid Phishing URL Repository.' OpenDNS / Cisco Systems.</w:t>
      </w:r>
    </w:p>
    <w:p>
      <w:pPr>
        <w:spacing w:after="80"/>
      </w:pPr>
      <w:r>
        <w:rPr>
          <w:rFonts w:ascii="Arial" w:hAnsi="Arial"/>
          <w:color w:val="334155"/>
          <w:sz w:val="18"/>
        </w:rPr>
        <w:t>4. OpenPhish. (2026). 'Active Global Phishing Threat Intelligence Community Feed.' https://openphish.com</w:t>
      </w:r>
    </w:p>
    <w:p>
      <w:pPr>
        <w:spacing w:after="80"/>
      </w:pPr>
      <w:r>
        <w:rPr>
          <w:rFonts w:ascii="Arial" w:hAnsi="Arial"/>
          <w:color w:val="334155"/>
          <w:sz w:val="18"/>
        </w:rPr>
        <w:t>5. Breiman, L. (2001). 'Random Forests.' Machine Learning, 45(1), 5-32.</w:t>
      </w:r>
    </w:p>
    <w:p>
      <w:pPr>
        <w:spacing w:after="80"/>
      </w:pPr>
      <w:r>
        <w:rPr>
          <w:rFonts w:ascii="Arial" w:hAnsi="Arial"/>
          <w:color w:val="334155"/>
          <w:sz w:val="18"/>
        </w:rPr>
        <w:t>6. Pedregosa, F., et al. (2011). 'Scikit-learn: Machine Learning in Python.' Journal of Machine Learning Research, 12, 2825-2830.</w:t>
      </w:r>
    </w:p>
    <w:p>
      <w:pPr>
        <w:spacing w:after="80"/>
      </w:pPr>
      <w:r>
        <w:rPr>
          <w:rFonts w:ascii="Arial" w:hAnsi="Arial"/>
          <w:color w:val="334155"/>
          <w:sz w:val="18"/>
        </w:rPr>
        <w:t>7. NIST Special Publication 800-63B. (2023). 'Digital Identity Guidelines: Authentication and Lifecycle Management.'</w:t>
      </w:r>
    </w:p>
    <w:p>
      <w:pPr>
        <w:spacing w:after="80"/>
      </w:pPr>
      <w:r>
        <w:rPr>
          <w:rFonts w:ascii="Arial" w:hAnsi="Arial"/>
          <w:color w:val="334155"/>
          <w:sz w:val="18"/>
        </w:rPr>
        <w:t>8. Espressif Systems. (2024). 'ESP32 Technical Reference Manual: Dual Core Tensilica LX6 Microcontroller &amp; UART Subsystems.'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Department of Computer Science &amp; Engineering | Academic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Machine Learning Based Phishing Website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