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2D15" w14:textId="55F713DE" w:rsidR="00954C4E" w:rsidRDefault="00954C4E" w:rsidP="00954C4E">
      <w:pPr>
        <w:rPr>
          <w:rFonts w:ascii="Times New Roman" w:hAnsi="Times New Roman" w:cs="Times New Roman"/>
          <w:noProof/>
        </w:rPr>
      </w:pPr>
      <w:r w:rsidRPr="005C63F6">
        <w:rPr>
          <w:rFonts w:ascii="Times New Roman" w:hAnsi="Times New Roman" w:cs="Times New Roman"/>
          <w:noProof/>
        </w:rPr>
        <w:t>Viral_dynamics_Fig4B.m</w:t>
      </w:r>
      <w:r>
        <w:rPr>
          <w:rFonts w:ascii="Times New Roman" w:hAnsi="Times New Roman" w:cs="Times New Roman"/>
          <w:noProof/>
        </w:rPr>
        <w:t>:</w:t>
      </w:r>
    </w:p>
    <w:p w14:paraId="0C3063B6" w14:textId="77777777" w:rsidR="00954C4E" w:rsidRDefault="00954C4E" w:rsidP="00954C4E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code predicts SARS-CoV-2 viral dynamics for different efficacy values as shown in Fig. 4B</w:t>
      </w:r>
      <w:r w:rsidRPr="00450CBB">
        <w:rPr>
          <w:rFonts w:ascii="Times New Roman" w:hAnsi="Times New Roman" w:cs="Times New Roman"/>
        </w:rPr>
        <w:t>.</w:t>
      </w:r>
    </w:p>
    <w:p w14:paraId="7FD0012E" w14:textId="77777777" w:rsidR="00954C4E" w:rsidRDefault="00954C4E">
      <w:pPr>
        <w:rPr>
          <w:rFonts w:ascii="Times New Roman" w:hAnsi="Times New Roman" w:cs="Times New Roman"/>
        </w:rPr>
      </w:pPr>
    </w:p>
    <w:p w14:paraId="3430A036" w14:textId="77777777" w:rsidR="005C63F6" w:rsidRDefault="005C63F6" w:rsidP="00297793">
      <w:pPr>
        <w:rPr>
          <w:rFonts w:ascii="Times New Roman" w:hAnsi="Times New Roman" w:cs="Times New Roman"/>
        </w:rPr>
      </w:pP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0F7022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10</cp:revision>
  <dcterms:created xsi:type="dcterms:W3CDTF">2021-05-05T11:14:00Z</dcterms:created>
  <dcterms:modified xsi:type="dcterms:W3CDTF">2021-05-05T17:20:00Z</dcterms:modified>
</cp:coreProperties>
</file>