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7156144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6759"/>
        <w:gridCol w:w="2601"/>
      </w:tblGrid>
      <w:tr>
        <w:trPr/>
        <w:tc>
          <w:tcPr>
            <w:tcW w:w="675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240" w:type="dxa"/>
              <w:left w:w="279" w:type="dxa"/>
              <w:right w:w="200" w:type="dxa"/>
              <w:bottom w:w="24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5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36.0"/>
              </w:rPr>
              <w:t xml:space="preserve">Akanksha’s Demo Guide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3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CCBBEE"/>
                <w:sz w:val="22.0"/>
              </w:rPr>
              <w:t xml:space="preserve">UWC International  |  CRM and Applications Platform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9988BB"/>
                <w:sz w:val="18.0"/>
              </w:rPr>
              <w:t xml:space="preserve">For use on a second screen during the live demonstration</w:t>
            </w:r>
          </w:p>
        </w:tc>
        <w:tc>
          <w:tcPr>
            <w:tcW w:w="260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2A1060" w:val="clear" w:color="auto"/>
            <w:tcMar>
              <w:top w:w="240" w:type="dxa"/>
              <w:left w:w="180" w:type="dxa"/>
              <w:right w:w="180" w:type="dxa"/>
              <w:bottom w:w="24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/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4.0"/>
              </w:rPr>
              <w:t xml:space="preserve">1 June 2026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30.0"/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AAAACC"/>
                <w:sz w:val="20.0"/>
              </w:rPr>
              <w:t xml:space="preserve">15:00 – 17:00 BST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8888AA"/>
                <w:sz w:val="18.0"/>
              </w:rPr>
              <w:t xml:space="preserve">Video conference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9539164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3069B1" w:val="clear" w:color="auto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z w:val="4.0"/>
              </w:rPr>
              <w:t xml:space="preserve"> </w:t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z w:val="4.0"/>
              </w:rPr>
              <w:t xml:space="preserve"> </w:t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B82C18" w:val="clear" w:color="auto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z w:val="4.0"/>
              </w:rPr>
              <w:t xml:space="preserve"> </w:t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85D0C" w:val="clear" w:color="auto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z w:val="4.0"/>
              </w:rPr>
              <w:t xml:space="preserve"> </w:t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DFD205" w:val="clear" w:color="auto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z w:val="4.0"/>
              </w:rPr>
              <w:t xml:space="preserve"> </w:t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1F9535" w:val="clear" w:color="auto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z w:val="4.0"/>
              </w:rPr>
              <w:t xml:space="preserve"> 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200.0" w:before="0.0"/>
        <w:widowControl w:val="1"/>
      </w:pPr>
    </w:p>
    <w:tbl>
      <w:tblPr>
        <w:tblStyle w:val="7169267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120" w:type="dxa"/>
              <w:left w:w="81" w:type="dxa"/>
              <w:right w:w="81" w:type="dxa"/>
              <w:bottom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4.0"/>
              </w:rPr>
              <w:t xml:space="preserve">ROLE</w:t>
            </w:r>
          </w:p>
        </w:tc>
        <w:tc>
          <w:tcPr>
            <w:tcW w:w="88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120" w:type="dxa"/>
              <w:left w:w="160" w:type="dxa"/>
              <w:right w:w="14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20.0"/>
              </w:rPr>
              <w:t xml:space="preserve">Your job: drive the screen, narrate what you’re showing, and handle the technical questions.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20.0"/>
              </w:rPr>
              <w:t xml:space="preserve">Paul takes the commercial and implementation conversation. Hand back to him when he signals.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20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100.0" w:before="360.0"/>
        <w:pBdr>
          <w:bottom w:val="single" w:color="441881" w:sz="7" w:space="3"/>
        </w:pBdr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1881"/>
          <w:sz w:val="28.0"/>
        </w:rPr>
        <w:t xml:space="preserve">Ground Rules</w:t>
      </w:r>
    </w:p>
    <w:tbl>
      <w:tblPr>
        <w:tblStyle w:val="6927226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color="441881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 w:color="auto"/>
            <w:tcMar>
              <w:top w:w="120" w:type="dxa"/>
              <w:left w:w="140" w:type="dxa"/>
              <w:right w:w="12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🧵  Follow Sofia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Her journey threads through most of the demo. Keep coming back to her by name – the panel will start to feel like they know her.</w:t>
            </w:r>
          </w:p>
        </w:tc>
        <w:tc>
          <w:tcPr>
            <w:tcW w:w="2340" w:type="dxa"/>
            <w:tcBorders>
              <w:top w:val="single" w:color="441881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 w:color="auto"/>
            <w:tcMar>
              <w:top w:w="120" w:type="dxa"/>
              <w:left w:w="140" w:type="dxa"/>
              <w:right w:w="12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🐢  Slow is confident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When the platform does something clever, stop talking. Let them take it in before you say anything.</w:t>
            </w:r>
          </w:p>
        </w:tc>
        <w:tc>
          <w:tcPr>
            <w:tcW w:w="2340" w:type="dxa"/>
            <w:tcBorders>
              <w:top w:val="single" w:color="441881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 w:color="auto"/>
            <w:tcMar>
              <w:top w:w="120" w:type="dxa"/>
              <w:left w:w="140" w:type="dxa"/>
              <w:right w:w="12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🟡  Say what it is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If something is custom-built rather than native Zoho, say so. It builds more trust than glossing over it.</w:t>
            </w:r>
          </w:p>
        </w:tc>
        <w:tc>
          <w:tcPr>
            <w:tcW w:w="2340" w:type="dxa"/>
            <w:tcBorders>
              <w:top w:val="single" w:color="441881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 w:color="auto"/>
            <w:tcMar>
              <w:top w:w="120" w:type="dxa"/>
              <w:left w:w="140" w:type="dxa"/>
              <w:right w:w="12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🎤  Don’t guess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“Great question – let me note that and we’ll come back to you” is a perfectly good answer.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20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100.0" w:before="360.0"/>
        <w:pBdr>
          <w:bottom w:val="single" w:color="441881" w:sz="7" w:space="3"/>
        </w:pBdr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1881"/>
          <w:sz w:val="28.0"/>
        </w:rPr>
        <w:t xml:space="preserve">Before the Session – Set Up from 14:30</w:t>
      </w:r>
    </w:p>
    <w:tbl>
      <w:tblPr>
        <w:tblStyle w:val="4712899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01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Separate browser profile – logged in as IO Super Admin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Keep the demo environment isolated from your personal profile. No notifications, no other tabs.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02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Pre-open tabs left to right: Sofia’s application · NC dashboard · Governance board · NC health dashboard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In the order you’ll need them. No navigating live.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03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Two incognito windows – Clara Ramos and Paulo Fonseca, both on Sofia’s application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Test both logins before 15:00. The blind review is Scenario C’s centrepiece – don’t discover a login issue on the day.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04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Helen Richards in a separate window (not incognito) – School Admissions view ready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For Scenario D.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05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Screenshot exports of every key screen saved locally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You’ll almost certainly never need them. Have them anyway.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2479213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700"/>
        <w:gridCol w:w="6460"/>
        <w:gridCol w:w="1200"/>
        <w:gridCol w:w="999"/>
      </w:tblGrid>
      <w:tr>
        <w:trPr/>
        <w:tc>
          <w:tcPr>
            <w:tcW w:w="7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3069B1" w:val="clear" w:color="auto"/>
            <w:tcMar>
              <w:top w:w="120" w:type="dxa"/>
              <w:left w:w="140" w:type="dxa"/>
              <w:right w:w="99" w:type="dxa"/>
              <w:bottom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34.0"/>
              </w:rPr>
              <w:t xml:space="preserve">A</w:t>
            </w:r>
          </w:p>
        </w:tc>
        <w:tc>
          <w:tcPr>
            <w:tcW w:w="64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3069B1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false"/>
                <w:rFonts w:ascii="Arial" w:eastAsia="Arial" w:hAnsi="Arial" w:cs="Arial"/>
                <w:color w:val="CCBBEE"/>
                <w:sz w:val="16.0"/>
              </w:rPr>
              <w:t xml:space="preserve">NC Admin · Permissions · Programme config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2.0"/>
              </w:rPr>
              <w:t xml:space="preserve">NC Administration, Permissions, and Programme Configuration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3069B1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0.0"/>
              </w:rPr>
              <w:t xml:space="preserve">~8 min</w:t>
            </w:r>
          </w:p>
        </w:tc>
        <w:tc>
          <w:tcPr>
            <w:tcW w:w="99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2A1060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2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AAAACC"/>
                <w:sz w:val="14.0"/>
              </w:rPr>
              <w:t xml:space="preserve">LOGIN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Marcus Weber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0.0"/>
        <w:widowControl w:val="1"/>
      </w:pPr>
    </w:p>
    <w:tbl>
      <w:tblPr>
        <w:tblStyle w:val="2244163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00"/>
        <w:gridCol w:w="8960"/>
      </w:tblGrid>
      <w:tr>
        <w:trPr/>
        <w:tc>
          <w:tcPr>
            <w:tcW w:w="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81" w:type="dxa"/>
              <w:left w:w="120" w:type="dxa"/>
              <w:right w:w="81" w:type="dxa"/>
              <w:bottom w:w="8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FFFFFF"/>
                <w:sz w:val="16.0"/>
              </w:rPr>
              <w:t xml:space="preserve">▶</w:t>
            </w:r>
          </w:p>
        </w:tc>
        <w:tc>
          <w:tcPr>
            <w:tcW w:w="89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1" w:type="dxa"/>
              <w:left w:w="140" w:type="dxa"/>
              <w:right w:w="120" w:type="dxa"/>
              <w:bottom w:w="8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Showing:  </w:t>
            </w:r>
            <w:r w:rsidR="00000000" w:rsidDel="00000000" w:rsidRPr="00000000">
              <w:rPr>
                <w:rFonts w:ascii="Arial" w:eastAsia="Arial" w:hAnsi="Arial" w:cs="Arial"/>
                <w:color w:val="333333"/>
                <w:sz w:val="19.0"/>
              </w:rPr>
              <w:t xml:space="preserve">NCs can self-administer without calling IO – and every role sees exactly what it should, nothing more.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3988584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01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Log in as Marcus Weber. Show his view immediately – Germany only.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“Marcus is NC Admin for Germany. This is his entire world – he can see Germany and nothing else.”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Don’t explain what he can’t see. The absence speaks for itself.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02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the Germany programme record. Show the editable fields and the local question he’s added.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“Marcus can adjust his deadline, his place count, and his selection stage himself. No ticket to IO. He’s also added his own local question to the application form – without any involvement from the International Office.”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03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the NC dashboard – Blueprint stage colours, 14 applications.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“14 applications this cycle. He can see exactly where each one sits – and how many days he has until his deadline closes.”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Point to the stage colours – the panel will see these throughout the demo.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04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Unlock a submitted application. Show the audit log entry it creates.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“If a student needs to correct something after submitting, Marcus can unlock it. The system records who unlocked it, when, and why – every action is traceable.”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05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two windows – IO Super Admin and Data Protection Lead on the same contact record.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“Same record, two different roles. The IO Super Admin sees everything. The Data Protection Lead sees the same person – without date of birth, financial aid status, or parental contact details.”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Let them compare both screens before moving on.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6485381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B89000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4.0"/>
              </w:rPr>
              <w:t xml:space="preserve">HONEST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BEB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7A5500"/>
                <w:sz w:val="19.0"/>
              </w:rPr>
              <w:t xml:space="preserve">Field-level security and NC permission boundaries are standard Zoho CRM configuration – not custom code. If they ask how granular it gets: “Field level, record level, and module level – independently.”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8579469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9360" w:type="dxa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71" w:type="dxa"/>
              <w:left w:w="16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IF THEY ASK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0DCF0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19.0"/>
              </w:rPr>
              <w:t xml:space="preserve">Can an NC Admin really not see another NC’s data?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Log in as Ana Carvalho (Brazil NC Admin) live. Try to navigate to Germany records. They simply are not there – the boundary is at record level, not just the view.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1856367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DDDDDD" w:val="clear" w:color="auto"/>
            <w:tcMar>
              <w:top w:w="71" w:type="dxa"/>
              <w:left w:w="81" w:type="dxa"/>
              <w:right w:w="81" w:type="dxa"/>
              <w:bottom w:w="7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666666"/>
                <w:sz w:val="18.0"/>
              </w:rPr>
              <w:t xml:space="preserve">→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5F5F5" w:val="clear" w:color="auto"/>
            <w:tcMar>
              <w:top w:w="71" w:type="dxa"/>
              <w:left w:w="14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Log out of Marcus · Open the applicant portal · Scenario B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1763339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700"/>
        <w:gridCol w:w="6460"/>
        <w:gridCol w:w="1200"/>
        <w:gridCol w:w="999"/>
      </w:tblGrid>
      <w:tr>
        <w:trPr/>
        <w:tc>
          <w:tcPr>
            <w:tcW w:w="7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B82C18" w:val="clear" w:color="auto"/>
            <w:tcMar>
              <w:top w:w="120" w:type="dxa"/>
              <w:left w:w="140" w:type="dxa"/>
              <w:right w:w="99" w:type="dxa"/>
              <w:bottom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34.0"/>
              </w:rPr>
              <w:t xml:space="preserve">B</w:t>
            </w:r>
          </w:p>
        </w:tc>
        <w:tc>
          <w:tcPr>
            <w:tcW w:w="64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B82C18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false"/>
                <w:rFonts w:ascii="Arial" w:eastAsia="Arial" w:hAnsi="Arial" w:cs="Arial"/>
                <w:color w:val="CCBBEE"/>
                <w:sz w:val="16.0"/>
              </w:rPr>
              <w:t xml:space="preserve">Applicant registration · Eligibility · Form submission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2.0"/>
              </w:rPr>
              <w:t xml:space="preserve">Applicant Registration, Eligibility, and Form Submission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B82C18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0.0"/>
              </w:rPr>
              <w:t xml:space="preserve">~10 min</w:t>
            </w:r>
          </w:p>
        </w:tc>
        <w:tc>
          <w:tcPr>
            <w:tcW w:w="99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2A1060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2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AAAACC"/>
                <w:sz w:val="14.0"/>
              </w:rPr>
              <w:t xml:space="preserve">LOGIN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Portal → Sofia → IO Mktg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0.0"/>
        <w:widowControl w:val="1"/>
      </w:pPr>
    </w:p>
    <w:tbl>
      <w:tblPr>
        <w:tblStyle w:val="8635351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00"/>
        <w:gridCol w:w="8960"/>
      </w:tblGrid>
      <w:tr>
        <w:trPr/>
        <w:tc>
          <w:tcPr>
            <w:tcW w:w="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81" w:type="dxa"/>
              <w:left w:w="120" w:type="dxa"/>
              <w:right w:w="81" w:type="dxa"/>
              <w:bottom w:w="8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FFFFFF"/>
                <w:sz w:val="16.0"/>
              </w:rPr>
              <w:t xml:space="preserve">▶</w:t>
            </w:r>
          </w:p>
        </w:tc>
        <w:tc>
          <w:tcPr>
            <w:tcW w:w="89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1" w:type="dxa"/>
              <w:left w:w="140" w:type="dxa"/>
              <w:right w:w="120" w:type="dxa"/>
              <w:bottom w:w="8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Showing:  </w:t>
            </w:r>
            <w:r w:rsidR="00000000" w:rsidDel="00000000" w:rsidRPr="00000000">
              <w:rPr>
                <w:rFonts w:ascii="Arial" w:eastAsia="Arial" w:hAnsi="Arial" w:cs="Arial"/>
                <w:color w:val="333333"/>
                <w:sz w:val="19.0"/>
              </w:rPr>
              <w:t xml:space="preserve">The world through Sofia’s eyes – 16, Brazilian, applying in Portuguese. Then the IO marketing view of where applicants come from.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6768332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01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Show the portal landing page – UWC branded, Português active.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“This is the first thing Sofia sees. UWC colours, UWC logo, her language. The system meets her where she is.”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02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Eligibility checker – enter a 14-year-old’s date of birth. Show the block.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“Before anyone creates an account, they pass through this gate. An ineligible age blocks registration entirely – the system never receives an application it can’t process.”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03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Log in as Sofia – show her 60% complete application and progress bar.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“Sofia started this a few days ago, saved, and closed. When she comes back, the form remembers exactly where she was.”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04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Scroll through the form. Pause on the essay. Read a line or two aloud.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“Short answers, a personal essay, a date field, a school year dropdown, a file upload. The essay is worth reading – she’s written something genuine.”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Actually pause and read a sentence. The panel will notice it isn’t Lorem Ipsum.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05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Show parental consent – Maria Almeida, Received, timestamped.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“Sofia is 16. She cannot reach Submitted status without parental consent recorded. The Blueprint enforces this – the NC Admin doesn’t have to remember to check it.”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06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Switch to IO Marketing view – source attribution dashboard.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“The marketing team can see where applicants come from – social media, partner schools, NC website, direct search. Sofia came through social. That tracks all the way to enrolment.”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3873958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B89000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4.0"/>
              </w:rPr>
              <w:t xml:space="preserve">HONEST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BEB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7A5500"/>
                <w:sz w:val="19.0"/>
              </w:rPr>
              <w:t xml:space="preserve">If they ask about the portal: “This isn’t a standard Zoho form. It’s a custom application we build on Zoho Catalyst – it talks to Zoho CRM via API and writes everything back. That’s what gives us the language flexibility and the design control.”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7395652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9360" w:type="dxa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71" w:type="dxa"/>
              <w:left w:w="16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IF THEY ASK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0DCF0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19.0"/>
              </w:rPr>
              <w:t xml:space="preserve">Can applicants reapply in future cycles?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"Yes – the account persists within a retention window we configure. They return, start a new application, and their history is still there."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0DCF0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19.0"/>
              </w:rPr>
              <w:t xml:space="preserve">What about Arabic and right-to-left languages?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"RTL support is confirmed in scope for Phase 1. We haven’t shown it today because it requires additional configuration – we’d rather be accurate than approximate."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9959173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DDDDDD" w:val="clear" w:color="auto"/>
            <w:tcMar>
              <w:top w:w="71" w:type="dxa"/>
              <w:left w:w="81" w:type="dxa"/>
              <w:right w:w="81" w:type="dxa"/>
              <w:bottom w:w="7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666666"/>
                <w:sz w:val="18.0"/>
              </w:rPr>
              <w:t xml:space="preserve">→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5F5F5" w:val="clear" w:color="auto"/>
            <w:tcMar>
              <w:top w:w="71" w:type="dxa"/>
              <w:left w:w="14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Stay as IO Super Admin · Open the scoring/selection view · Scenario C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line"/>
      </w:r>
    </w:p>
    <w:tbl>
      <w:tblPr>
        <w:tblStyle w:val="3638961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700"/>
        <w:gridCol w:w="6460"/>
        <w:gridCol w:w="1200"/>
        <w:gridCol w:w="999"/>
      </w:tblGrid>
      <w:tr>
        <w:trPr/>
        <w:tc>
          <w:tcPr>
            <w:tcW w:w="7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120" w:type="dxa"/>
              <w:left w:w="140" w:type="dxa"/>
              <w:right w:w="99" w:type="dxa"/>
              <w:bottom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34.0"/>
              </w:rPr>
              <w:t xml:space="preserve">C</w:t>
            </w:r>
          </w:p>
        </w:tc>
        <w:tc>
          <w:tcPr>
            <w:tcW w:w="64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false"/>
                <w:rFonts w:ascii="Arial" w:eastAsia="Arial" w:hAnsi="Arial" w:cs="Arial"/>
                <w:color w:val="CCBBEE"/>
                <w:sz w:val="16.0"/>
              </w:rPr>
              <w:t xml:space="preserve">Selection · Scoring · Safeguarding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2.0"/>
              </w:rPr>
              <w:t xml:space="preserve">Multi-Stage Selection, Scoring, and Safeguarding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0.0"/>
              </w:rPr>
              <w:t xml:space="preserve">~10 min</w:t>
            </w:r>
          </w:p>
        </w:tc>
        <w:tc>
          <w:tcPr>
            <w:tcW w:w="99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2A1060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2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AAAACC"/>
                <w:sz w:val="14.0"/>
              </w:rPr>
              <w:t xml:space="preserve">LOGIN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Clara → Paulo → IO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0.0"/>
        <w:widowControl w:val="1"/>
      </w:pPr>
    </w:p>
    <w:tbl>
      <w:tblPr>
        <w:tblStyle w:val="2631858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C8102E" w:val="clear" w:color="auto"/>
            <w:tcMar>
              <w:top w:w="89" w:type="dxa"/>
              <w:left w:w="81" w:type="dxa"/>
              <w:right w:w="81" w:type="dxa"/>
              <w:bottom w:w="8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2.0"/>
              </w:rPr>
              <w:t xml:space="preserve">!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0F2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880020"/>
                <w:sz w:val="19.0"/>
              </w:rPr>
              <w:t xml:space="preserve">Take the blind review slowly. Narrate every login switch out loud. The panel will watch this more closely than anything else in the demo.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0.0"/>
        <w:widowControl w:val="1"/>
      </w:pPr>
    </w:p>
    <w:tbl>
      <w:tblPr>
        <w:tblStyle w:val="4412389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00"/>
        <w:gridCol w:w="8960"/>
      </w:tblGrid>
      <w:tr>
        <w:trPr/>
        <w:tc>
          <w:tcPr>
            <w:tcW w:w="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81" w:type="dxa"/>
              <w:left w:w="120" w:type="dxa"/>
              <w:right w:w="81" w:type="dxa"/>
              <w:bottom w:w="8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FFFFFF"/>
                <w:sz w:val="16.0"/>
              </w:rPr>
              <w:t xml:space="preserve">▶</w:t>
            </w:r>
          </w:p>
        </w:tc>
        <w:tc>
          <w:tcPr>
            <w:tcW w:w="89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1" w:type="dxa"/>
              <w:left w:w="140" w:type="dxa"/>
              <w:right w:w="120" w:type="dxa"/>
              <w:bottom w:w="8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Showing:  </w:t>
            </w:r>
            <w:r w:rsidR="00000000" w:rsidDel="00000000" w:rsidRPr="00000000">
              <w:rPr>
                <w:rFonts w:ascii="Arial" w:eastAsia="Arial" w:hAnsi="Arial" w:cs="Arial"/>
                <w:color w:val="333333"/>
                <w:sz w:val="19.0"/>
              </w:rPr>
              <w:t xml:space="preserve">Reviewer integrity enforced by the system – not by convention. Safeguarding handled immediately and automatically.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4212343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01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Clara Ramos’ incognito window. Show her completed assessment for Sofia.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“Clara has reviewed Sofia. Here are her scores and her recommendation. This is Clara’s view.”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Make it explicit whose scores you’re looking at before you switch.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02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Switch to Paulo Fonseca’s incognito window. Navigate to Sofia’s application.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“I’m now logged in as Paulo. Same application.”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Pause. Scroll to where Clara’s scores would appear. Then say: “Clara’s scores are not here.” Let it sit.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03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Paulo submits his review.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“Paulo submits. The system sees both reviewers have now submitted – it sets a field called All Reviews Complete to true. That field change is the trigger.”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04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Switch to IO Super Admin. Show both score sets now visible.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“Now they’re unlocked. Both reviewers’ scores are visible – not before both submitted, and not by asking anyone to be honourable about it.”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This is the reveal. Take a breath. Let them respond before moving on.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05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Show the conflict of interest button – brief.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“If a reviewer has a connection to an applicant, they declare it here. The system removes their access and triggers reassignment automatically.”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06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Miguel Santos’ application – show the pre-created safeguarding flag.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“This flag was raised earlier in the cycle. The moment it was submitted, two things happened automatically: the NC Admin and the International Office were both notified, and this application was locked from any further progression until the flag is resolved.”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07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Return to Sofia – show her panel decision and Shortlisted stage.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“Sofia’s been shortlisted. Panel note: “Strong candidate. Clear alignment with UWC values. Recommend for nomination.” Her stage moves to Shortlisted and she receives an automatic notification.”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1636792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9360" w:type="dxa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71" w:type="dxa"/>
              <w:left w:w="16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IF THEY ASK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0DCF0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19.0"/>
              </w:rPr>
              <w:t xml:space="preserve">How does the blind review actually work technically?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"Each reviewer’s assessment is a separate record. Field-level security means a reviewer can only read their own record. When both submit, a workflow sets a field – All Reviews Complete – and that change unlocks mutual visibility. It’s a Blueprint trigger, not a manual step."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0DCF0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19.0"/>
              </w:rPr>
              <w:t xml:space="preserve">What if a safeguarding concern needs to escalate beyond the NC?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"IO Super Admin is notified at the same moment as the NC Admin. The record stays locked until IO-level access explicitly resolves the flag. Full audit trail retained."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0DCF0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19.0"/>
              </w:rPr>
              <w:t xml:space="preserve">Can a reviewer see scores after the process closes?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"That’s a configuration decision – we’d set the visibility rules for post-process access during Phase 1."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2167366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DDDDDD" w:val="clear" w:color="auto"/>
            <w:tcMar>
              <w:top w:w="71" w:type="dxa"/>
              <w:left w:w="81" w:type="dxa"/>
              <w:right w:w="81" w:type="dxa"/>
              <w:bottom w:w="7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666666"/>
                <w:sz w:val="18.0"/>
              </w:rPr>
              <w:t xml:space="preserve">→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5F5F5" w:val="clear" w:color="auto"/>
            <w:tcMar>
              <w:top w:w="71" w:type="dxa"/>
              <w:left w:w="14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Stay as IO Super Admin · Navigate to place allocation view · Scenario D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8796749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700"/>
        <w:gridCol w:w="6460"/>
        <w:gridCol w:w="1200"/>
        <w:gridCol w:w="999"/>
      </w:tblGrid>
      <w:tr>
        <w:trPr/>
        <w:tc>
          <w:tcPr>
            <w:tcW w:w="7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3069B1" w:val="clear" w:color="auto"/>
            <w:tcMar>
              <w:top w:w="120" w:type="dxa"/>
              <w:left w:w="140" w:type="dxa"/>
              <w:right w:w="99" w:type="dxa"/>
              <w:bottom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34.0"/>
              </w:rPr>
              <w:t xml:space="preserve">D</w:t>
            </w:r>
          </w:p>
        </w:tc>
        <w:tc>
          <w:tcPr>
            <w:tcW w:w="64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3069B1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false"/>
                <w:rFonts w:ascii="Arial" w:eastAsia="Arial" w:hAnsi="Arial" w:cs="Arial"/>
                <w:color w:val="CCBBEE"/>
                <w:sz w:val="16.0"/>
              </w:rPr>
              <w:t xml:space="preserve">Nomination · Place allocation · Pack generation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2.0"/>
              </w:rPr>
              <w:t xml:space="preserve">Nomination, Place Allocation, and Pack Generation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3069B1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0.0"/>
              </w:rPr>
              <w:t xml:space="preserve">~8 min</w:t>
            </w:r>
          </w:p>
        </w:tc>
        <w:tc>
          <w:tcPr>
            <w:tcW w:w="99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2A1060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2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AAAACC"/>
                <w:sz w:val="14.0"/>
              </w:rPr>
              <w:t xml:space="preserve">LOGIN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IO → NC Brazil → School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0.0"/>
        <w:widowControl w:val="1"/>
      </w:pPr>
    </w:p>
    <w:tbl>
      <w:tblPr>
        <w:tblStyle w:val="9328838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00"/>
        <w:gridCol w:w="8960"/>
      </w:tblGrid>
      <w:tr>
        <w:trPr/>
        <w:tc>
          <w:tcPr>
            <w:tcW w:w="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81" w:type="dxa"/>
              <w:left w:w="120" w:type="dxa"/>
              <w:right w:w="81" w:type="dxa"/>
              <w:bottom w:w="8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FFFFFF"/>
                <w:sz w:val="16.0"/>
              </w:rPr>
              <w:t xml:space="preserve">▶</w:t>
            </w:r>
          </w:p>
        </w:tc>
        <w:tc>
          <w:tcPr>
            <w:tcW w:w="89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1" w:type="dxa"/>
              <w:left w:w="140" w:type="dxa"/>
              <w:right w:w="120" w:type="dxa"/>
              <w:bottom w:w="8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Showing:  </w:t>
            </w:r>
            <w:r w:rsidR="00000000" w:rsidDel="00000000" w:rsidRPr="00000000">
              <w:rPr>
                <w:rFonts w:ascii="Arial" w:eastAsia="Arial" w:hAnsi="Arial" w:cs="Arial"/>
                <w:color w:val="333333"/>
                <w:sz w:val="19.0"/>
              </w:rPr>
              <w:t xml:space="preserve">The same nomination from three perspectives – IO managing quota, NC generating the pack, school accepting.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2569964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01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IO view – global place allocations for UWC Atlantic College.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“IO has allocated 12 places to UWC Atlantic this cycle. Four filled, eight remaining. Brazil NC holds three of those twelve – tracked here in real time.”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02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Switch to Ana Carvalho (Brazil NC Admin). Generate Sofia’s nomination pack.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“Ana presses one button. The system compiles her personal details, both reviewers’ scores – now unlocked – her referee statement, parental consent, and the panel decision. One formatted PDF, branded, ready.”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If it takes a moment: “Everything a school needs to make a decision – assembled automatically.”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03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Create the nomination. Show the quota decrement.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“Sofia’s nomination uses one of Brazil’s three places. Ana now has two remaining – tracked without anyone updating a spreadsheet.”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04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Switch to Helen Richards. Show her scoped view – UWC Atlantic only.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“Helen sees only UWC Atlantic College nominations. No other schools, no NC data, no review scores. Just who’s been nominated, from which NC, and the pack to review.”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05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Show the nomination list – Sofia, Kwame (Pack Received), one declined. Blueprint status colours.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“The status colours match the Blueprint – you’ll recognise them from Scenario A.”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7694475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B89000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4.0"/>
              </w:rPr>
              <w:t xml:space="preserve">HONEST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BEB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7A5500"/>
                <w:sz w:val="19.0"/>
              </w:rPr>
              <w:t xml:space="preserve">The nomination pack generator is custom-built – one button that pulls from multiple related records and outputs a formatted PDF. Not something Zoho does out of the box.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3123548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9360" w:type="dxa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71" w:type="dxa"/>
              <w:left w:w="16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IF THEY ASK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0DCF0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19.0"/>
              </w:rPr>
              <w:t xml:space="preserve">What happens to a rejected applicant’s record?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"Retained in full. Blueprint stage moves to Declined, notification goes to the applicant, and every stage, score, and decision stays in the system. Nothing deleted. Fully auditable."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9126965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DDDDDD" w:val="clear" w:color="auto"/>
            <w:tcMar>
              <w:top w:w="71" w:type="dxa"/>
              <w:left w:w="81" w:type="dxa"/>
              <w:right w:w="81" w:type="dxa"/>
              <w:bottom w:w="7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666666"/>
                <w:sz w:val="18.0"/>
              </w:rPr>
              <w:t xml:space="preserve">→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5F5F5" w:val="clear" w:color="auto"/>
            <w:tcMar>
              <w:top w:w="71" w:type="dxa"/>
              <w:left w:w="14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Stay as IO Super Admin · Open the governance module · Scenario E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3819913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700"/>
        <w:gridCol w:w="6460"/>
        <w:gridCol w:w="1200"/>
        <w:gridCol w:w="999"/>
      </w:tblGrid>
      <w:tr>
        <w:trPr/>
        <w:tc>
          <w:tcPr>
            <w:tcW w:w="7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120" w:type="dxa"/>
              <w:left w:w="140" w:type="dxa"/>
              <w:right w:w="99" w:type="dxa"/>
              <w:bottom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34.0"/>
              </w:rPr>
              <w:t xml:space="preserve">E</w:t>
            </w:r>
          </w:p>
        </w:tc>
        <w:tc>
          <w:tcPr>
            <w:tcW w:w="64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false"/>
                <w:rFonts w:ascii="Arial" w:eastAsia="Arial" w:hAnsi="Arial" w:cs="Arial"/>
                <w:color w:val="CCBBEE"/>
                <w:sz w:val="16.0"/>
              </w:rPr>
              <w:t xml:space="preserve">Governance structure · Board management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2.0"/>
              </w:rPr>
              <w:t xml:space="preserve">Governance Structure and Body Management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0.0"/>
              </w:rPr>
              <w:t xml:space="preserve">~7 min</w:t>
            </w:r>
          </w:p>
        </w:tc>
        <w:tc>
          <w:tcPr>
            <w:tcW w:w="99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2A1060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2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AAAACC"/>
                <w:sz w:val="14.0"/>
              </w:rPr>
              <w:t xml:space="preserve">LOGIN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IO Super Admin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0.0"/>
        <w:widowControl w:val="1"/>
      </w:pPr>
    </w:p>
    <w:tbl>
      <w:tblPr>
        <w:tblStyle w:val="1226977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00"/>
        <w:gridCol w:w="8960"/>
      </w:tblGrid>
      <w:tr>
        <w:trPr/>
        <w:tc>
          <w:tcPr>
            <w:tcW w:w="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81" w:type="dxa"/>
              <w:left w:w="120" w:type="dxa"/>
              <w:right w:w="81" w:type="dxa"/>
              <w:bottom w:w="8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FFFFFF"/>
                <w:sz w:val="16.0"/>
              </w:rPr>
              <w:t xml:space="preserve">▶</w:t>
            </w:r>
          </w:p>
        </w:tc>
        <w:tc>
          <w:tcPr>
            <w:tcW w:w="89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1" w:type="dxa"/>
              <w:left w:w="140" w:type="dxa"/>
              <w:right w:w="120" w:type="dxa"/>
              <w:bottom w:w="8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Showing:  </w:t>
            </w:r>
            <w:r w:rsidR="00000000" w:rsidDel="00000000" w:rsidRPr="00000000">
              <w:rPr>
                <w:rFonts w:ascii="Arial" w:eastAsia="Arial" w:hAnsi="Arial" w:cs="Arial"/>
                <w:color w:val="333333"/>
                <w:sz w:val="19.0"/>
              </w:rPr>
              <w:t xml:space="preserve">Governance as a live, structured record – not a spreadsheet – that surfaces gaps and expired terms automatically.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7315289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01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the UWC International Board record.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“The board is a structured record. Each member has a role, an appointment date, a term length, and a link to their full contact in the CRM.”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02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Point to the two expired terms – Dr Ravi Menon and Thomas Berger, red labels.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“Two expired terms – flagged automatically. Nobody had to notice.”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The red label does the work. Don’t over-explain it.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03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the competency matrix. Show the three gaps clearly.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“Ten competencies the board needs. Mapped against who covers them. Marketing and Communications, Youth Engagement, Asia-Pacific Regional Expertise – three gaps, visible at a glance. This isn’t a spreadsheet – it’s a live view of what the board can and can’t cover right now.”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Let them look at it. Don’t narrate over it.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04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Show the network-wide governance summary briefly.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“And across all governance bodies – member counts, upcoming expiries, status. IO has a live view of the whole structure.”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9535648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B89000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4.0"/>
              </w:rPr>
              <w:t xml:space="preserve">HONEST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BEB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7A5500"/>
                <w:sz w:val="19.0"/>
              </w:rPr>
              <w:t xml:space="preserve">The competency matrix is custom-built on native CRM components – not a standard Zoho view.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3824281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DDDDDD" w:val="clear" w:color="auto"/>
            <w:tcMar>
              <w:top w:w="71" w:type="dxa"/>
              <w:left w:w="81" w:type="dxa"/>
              <w:right w:w="81" w:type="dxa"/>
              <w:bottom w:w="7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666666"/>
                <w:sz w:val="18.0"/>
              </w:rPr>
              <w:t xml:space="preserve">→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5F5F5" w:val="clear" w:color="auto"/>
            <w:tcMar>
              <w:top w:w="71" w:type="dxa"/>
              <w:left w:w="14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Stay as IO Super Admin · Navigate to the Kenya NC record · Scenario F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9811691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700"/>
        <w:gridCol w:w="6460"/>
        <w:gridCol w:w="1200"/>
        <w:gridCol w:w="999"/>
      </w:tblGrid>
      <w:tr>
        <w:trPr/>
        <w:tc>
          <w:tcPr>
            <w:tcW w:w="7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1F9535" w:val="clear" w:color="auto"/>
            <w:tcMar>
              <w:top w:w="120" w:type="dxa"/>
              <w:left w:w="140" w:type="dxa"/>
              <w:right w:w="99" w:type="dxa"/>
              <w:bottom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34.0"/>
              </w:rPr>
              <w:t xml:space="preserve">F</w:t>
            </w:r>
          </w:p>
        </w:tc>
        <w:tc>
          <w:tcPr>
            <w:tcW w:w="64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1F9535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false"/>
                <w:rFonts w:ascii="Arial" w:eastAsia="Arial" w:hAnsi="Arial" w:cs="Arial"/>
                <w:color w:val="CCBBEE"/>
                <w:sz w:val="16.0"/>
              </w:rPr>
              <w:t xml:space="preserve">NC management · Volunteer oversight · Network health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2.0"/>
              </w:rPr>
              <w:t xml:space="preserve">National Committee Management and Volunteer Oversight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1F9535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0.0"/>
              </w:rPr>
              <w:t xml:space="preserve">~8 min</w:t>
            </w:r>
          </w:p>
        </w:tc>
        <w:tc>
          <w:tcPr>
            <w:tcW w:w="99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2A1060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2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AAAACC"/>
                <w:sz w:val="14.0"/>
              </w:rPr>
              <w:t xml:space="preserve">LOGIN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IO Super Admin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0.0"/>
        <w:widowControl w:val="1"/>
      </w:pPr>
    </w:p>
    <w:tbl>
      <w:tblPr>
        <w:tblStyle w:val="6922372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00"/>
        <w:gridCol w:w="8960"/>
      </w:tblGrid>
      <w:tr>
        <w:trPr/>
        <w:tc>
          <w:tcPr>
            <w:tcW w:w="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81" w:type="dxa"/>
              <w:left w:w="120" w:type="dxa"/>
              <w:right w:w="81" w:type="dxa"/>
              <w:bottom w:w="8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FFFFFF"/>
                <w:sz w:val="16.0"/>
              </w:rPr>
              <w:t xml:space="preserve">▶</w:t>
            </w:r>
          </w:p>
        </w:tc>
        <w:tc>
          <w:tcPr>
            <w:tcW w:w="89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1" w:type="dxa"/>
              <w:left w:w="140" w:type="dxa"/>
              <w:right w:w="120" w:type="dxa"/>
              <w:bottom w:w="8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Showing:  </w:t>
            </w:r>
            <w:r w:rsidR="00000000" w:rsidDel="00000000" w:rsidRPr="00000000">
              <w:rPr>
                <w:rFonts w:ascii="Arial" w:eastAsia="Arial" w:hAnsi="Arial" w:cs="Arial"/>
                <w:color w:val="333333"/>
                <w:sz w:val="19.0"/>
              </w:rPr>
              <w:t xml:space="preserve">Deep into one NC, then pulling back to the whole network. The health dashboard is the moment to stop and let breathe.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4794634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01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the Kenya NC record.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“Kenya – active NC, Grace Omondi as chair. Current MoU version, linked volunteers, and this cycle’s applications all from one record.”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02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Show the three volunteers – training statuses: CURRENT / EXPIRED / MISSING.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“Grace is current. Daniel’s training expired over two years ago – the system calculated that and flagged it. And Aisha has no training record at all. Not lapsed – missing. The system detects the absence, not just the expiry.”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03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Show the MoU obligation records – Annual Report OVERDUE, Selection Results Completed.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“Kenya’s annual report was due 31 March. Flagged on that date automatically. Their selection results submission is done.”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04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the IO-level NC health dashboard – all five NCs, colour coded. Kenya showing amber.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“And here’s what it all adds up to. Every committee. Training compliance, MoU status, volunteer count, cycle progress – green, amber, red. Kenya is amber. The IO team can see this for all 150+ national committees without picking up a phone.”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Stop talking after this. Let them sit with it.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4561855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DDDDDD" w:val="clear" w:color="auto"/>
            <w:tcMar>
              <w:top w:w="71" w:type="dxa"/>
              <w:left w:w="81" w:type="dxa"/>
              <w:right w:w="81" w:type="dxa"/>
              <w:bottom w:w="7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666666"/>
                <w:sz w:val="18.0"/>
              </w:rPr>
              <w:t xml:space="preserve">→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5F5F5" w:val="clear" w:color="auto"/>
            <w:tcMar>
              <w:top w:w="71" w:type="dxa"/>
              <w:left w:w="14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Stay as IO Super Admin · Navigate to contacts / mailing lists · Scenario G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4899264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700"/>
        <w:gridCol w:w="6460"/>
        <w:gridCol w:w="1200"/>
        <w:gridCol w:w="999"/>
      </w:tblGrid>
      <w:tr>
        <w:trPr/>
        <w:tc>
          <w:tcPr>
            <w:tcW w:w="7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85D0C" w:val="clear" w:color="auto"/>
            <w:tcMar>
              <w:top w:w="120" w:type="dxa"/>
              <w:left w:w="140" w:type="dxa"/>
              <w:right w:w="99" w:type="dxa"/>
              <w:bottom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34.0"/>
              </w:rPr>
              <w:t xml:space="preserve">G</w:t>
            </w:r>
          </w:p>
        </w:tc>
        <w:tc>
          <w:tcPr>
            <w:tcW w:w="64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85D0C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false"/>
                <w:rFonts w:ascii="Arial" w:eastAsia="Arial" w:hAnsi="Arial" w:cs="Arial"/>
                <w:color w:val="CCBBEE"/>
                <w:sz w:val="16.0"/>
              </w:rPr>
              <w:t xml:space="preserve">Communications · Mailing lists · Consent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2.0"/>
              </w:rPr>
              <w:t xml:space="preserve">Communications, Mailing Lists, and Bulk Record Updates</w:t>
            </w:r>
          </w:p>
        </w:tc>
        <w:tc>
          <w:tcPr>
            <w:tcW w:w="12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85D0C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20.0"/>
              </w:rPr>
              <w:t xml:space="preserve">~7 min</w:t>
            </w:r>
          </w:p>
        </w:tc>
        <w:tc>
          <w:tcPr>
            <w:tcW w:w="99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2A1060" w:val="clear" w:color="auto"/>
            <w:tcMar>
              <w:top w:w="99" w:type="dxa"/>
              <w:left w:w="81" w:type="dxa"/>
              <w:right w:w="81" w:type="dxa"/>
              <w:bottom w:w="9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2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AAAACC"/>
                <w:sz w:val="14.0"/>
              </w:rPr>
              <w:t xml:space="preserve">LOGIN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IO Super Admin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0.0"/>
        <w:widowControl w:val="1"/>
      </w:pPr>
    </w:p>
    <w:tbl>
      <w:tblPr>
        <w:tblStyle w:val="7664717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00"/>
        <w:gridCol w:w="8960"/>
      </w:tblGrid>
      <w:tr>
        <w:trPr/>
        <w:tc>
          <w:tcPr>
            <w:tcW w:w="4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81" w:type="dxa"/>
              <w:left w:w="120" w:type="dxa"/>
              <w:right w:w="81" w:type="dxa"/>
              <w:bottom w:w="81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FFFFFF"/>
                <w:sz w:val="16.0"/>
              </w:rPr>
              <w:t xml:space="preserve">▶</w:t>
            </w:r>
          </w:p>
        </w:tc>
        <w:tc>
          <w:tcPr>
            <w:tcW w:w="89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1" w:type="dxa"/>
              <w:left w:w="140" w:type="dxa"/>
              <w:right w:w="120" w:type="dxa"/>
              <w:bottom w:w="8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9.0"/>
              </w:rPr>
              <w:t xml:space="preserve">Showing:  </w:t>
            </w:r>
            <w:r w:rsidR="00000000" w:rsidDel="00000000" w:rsidRPr="00000000">
              <w:rPr>
                <w:rFonts w:ascii="Arial" w:eastAsia="Arial" w:hAnsi="Arial" w:cs="Arial"/>
                <w:color w:val="333333"/>
                <w:sz w:val="19.0"/>
              </w:rPr>
              <w:t xml:space="preserve">Targeted comms, GDPR enforcement, and a complete contact history – closing the loop that opened in Scenario B when Sofia ticked a consent box.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2129939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01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“Impact Report Recipients – June 2026” – two contacts returned.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“This list filtered automatically: donors who gave in the last 12 months and have opted in. Jonathan Osei and Isabelle Fontaine.”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02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Marcus Weber’s record – opted out. Try to add him to the list. Show the block.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“Marcus has opted out of marketing. Watch what happens when I try to add him.”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After the block: “The system refused. GDPR compliance built into the workflow – not a policy on a shelf.”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03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Show the Campaigns or Mailchimp connection – draft campaign visible.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“The list syncs directly to a campaign audience. The Impact Report 2026 draft is here, ready. We’re not sending a real email today – but the connection is live.”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04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Show the bulk communication log – both Jonathan and Isabelle updated.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“After a send, both contacts have the campaign logged against their record automatically.”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05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Open Jonathan Osei’s contact record – full communication timeline.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“Impact Report today. Newsletter from January. If Jonathan had a connection to an applicant in the system, that would be here too. One record. One relationship. Not five systems.”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666666"/>
                <w:sz w:val="18.0"/>
              </w:rPr>
              <w:t xml:space="preserve">This is the landing point for the whole CRM section. Let it sit before handing back to Paul.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1624183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441"/>
        <w:gridCol w:w="8919"/>
      </w:tblGrid>
      <w:tr>
        <w:trPr/>
        <w:tc>
          <w:tcPr>
            <w:tcW w:w="44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B89000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4.0"/>
              </w:rPr>
              <w:t xml:space="preserve">HONEST</w:t>
            </w:r>
          </w:p>
        </w:tc>
        <w:tc>
          <w:tcPr>
            <w:tcW w:w="891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BEB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7A5500"/>
                <w:sz w:val="19.0"/>
              </w:rPr>
              <w:t xml:space="preserve">If they ask about Raiser’s Edge: “Fundraising transactions stay in Raiser’s Edge – we’re not replacing it. The integration means the relationship view in the CRM is complete even though the financial engine is elsewhere.”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00.0" w:before="0.0"/>
        <w:widowControl w:val="1"/>
      </w:pPr>
    </w:p>
    <w:tbl>
      <w:tblPr>
        <w:tblStyle w:val="7436883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9360" w:type="dxa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71" w:type="dxa"/>
              <w:left w:w="160" w:type="dxa"/>
              <w:right w:w="120" w:type="dxa"/>
              <w:bottom w:w="71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6.0"/>
              </w:rPr>
              <w:t xml:space="preserve">IF THEY ASK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20" w:type="dxa"/>
              <w:right w:w="81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441881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0DCF0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EDE8F5" w:val="clear" w:color="auto"/>
            <w:tcMar>
              <w:top w:w="89" w:type="dxa"/>
              <w:left w:w="140" w:type="dxa"/>
              <w:right w:w="120" w:type="dxa"/>
              <w:bottom w:w="8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3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19.0"/>
              </w:rPr>
              <w:t xml:space="preserve">Can we use HubSpot rather than Mailchimp?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333333"/>
                <w:sz w:val="18.0"/>
              </w:rPr>
              <w:t xml:space="preserve">"Yes – same integration pattern, same list sync, same activity logging. We’d confirm the specifics in Phase 1."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100.0" w:before="360.0"/>
        <w:pBdr>
          <w:bottom w:val="single" w:color="441881" w:sz="7" w:space="3"/>
        </w:pBdr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1881"/>
          <w:sz w:val="28.0"/>
        </w:rPr>
        <w:t xml:space="preserve">Technical Questions – Any Point in the Session</w:t>
      </w:r>
    </w:p>
    <w:p xmlns:w14="http://schemas.microsoft.com/office/word/2010/wordml" w:rsidR="00000000" w:rsidRDefault="00000000" w14:textId="00000000" w:rsidDel="00000000" w:rsidP="00000000" w:rsidRPr="00000000">
      <w:pPr>
        <w:spacing w:after="60.0" w:before="40.0"/>
        <w:widowControl w:val="1"/>
      </w:pPr>
      <w:r w:rsidR="00000000" w:rsidDel="00000000" w:rsidRPr="00000000">
        <w:rPr>
          <w:rFonts w:ascii="Arial" w:eastAsia="Arial" w:hAnsi="Arial" w:cs="Arial"/>
          <w:color w:val="333333"/>
          <w:sz w:val="20.0"/>
        </w:rPr>
        <w:t xml:space="preserve">These are the questions most likely to come directly to you rather than Paul. If something is better answered by Paul, say so and hand over.</w:t>
      </w:r>
    </w:p>
    <w:p xmlns:w14="http://schemas.microsoft.com/office/word/2010/wordml" w:rsidR="00000000" w:rsidRDefault="00000000" w14:textId="00000000" w:rsidDel="00000000" w:rsidP="00000000" w:rsidRPr="00000000">
      <w:pPr>
        <w:spacing w:after="80.0" w:before="0.0"/>
        <w:widowControl w:val="1"/>
      </w:pPr>
    </w:p>
    <w:tbl>
      <w:tblPr>
        <w:tblStyle w:val="6686684"/>
        <w:tblW w:w="936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  <w:tblLook w:val="00000600"/>
      </w:tblPr>
      <w:tblGrid>
        <w:gridCol w:w="560"/>
        <w:gridCol w:w="8800"/>
      </w:tblGrid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How does the portal relate to Zoho CRM – are they the same system?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“Connected but separate. Zoho CRM is the system of record. The applicant portal is a custom application we build on Zoho Catalyst. It talks to CRM via API and writes everything back. External users – applicants, reviewers, referees – never touch CRM directly.”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What about MFA and user security?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“Zoho CRM supports MFA natively – authenticator apps and security keys. Admins can enforce it globally for specific roles. There’s also a secure account recovery process that doesn’t create a back door.”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What if someone accidentally deletes 500 application records?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“Zoho has a recycle bin – deleted records sit there for a configurable period before permanent removal. Mass restoration brings records back with all associated history and attachments intact.”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How do we handle a GDPR right-to-erasure request?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“We configure what erasure means in your context – which fields are deleted, which are anonymised, what is retained for legal obligation. A request triggers a workflow that processes that logic. The audit trail of the erasure itself is retained even after the personal data is removed.”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Can you restrict system access to specific IP ranges?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“Yes – Zoho supports IP allowlisting at organisation level. Restrict access so only authorised networks can connect. Configuration setting, not a custom build.”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Are documents encrypted at rest?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“Zoho uses AES-256 encryption at rest and TLS 1.2+ in transit. Documents uploaded through the portal are stored within Zoho’s infrastructure with those same standards applied.”</w:t>
            </w:r>
          </w:p>
        </w:tc>
      </w:tr>
      <w:tr>
        <w:trPr/>
        <w:tc>
          <w:tcPr>
            <w:tcW w:w="56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441881" w:val="clear" w:color="auto"/>
            <w:tcMar>
              <w:top w:w="99" w:type="dxa"/>
              <w:left w:w="0" w:type="dxa"/>
              <w:right w:w="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FFFFFF"/>
                <w:sz w:val="18.0"/>
              </w:rPr>
              <w:t xml:space="preserve">Q</w:t>
            </w:r>
          </w:p>
        </w:tc>
        <w:tc>
          <w:tcPr>
            <w:tcW w:w="8800" w:type="dxa"/>
            <w:tcBorders>
              <w:top w:val="single" w:color="E8E8E8" w:sz="6"/>
              <w:left w:val="none" w:color="000000" w:sz="0" w:space="0"/>
              <w:bottom w:val="none" w:color="000000" w:sz="0" w:space="0"/>
              <w:right w:val="none" w:color="000000" w:sz="0" w:space="0"/>
            </w:tcBorders>
            <w:shd w:fill="FFFFFF" w:val="clear" w:color="auto"/>
            <w:tcMar>
              <w:top w:w="99" w:type="dxa"/>
              <w:left w:w="160" w:type="dxa"/>
              <w:right w:w="120" w:type="dxa"/>
              <w:bottom w:w="99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40.0" w:before="0.0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111111"/>
                <w:sz w:val="20.0"/>
              </w:rPr>
              <w:t xml:space="preserve">What if Zoho changes something that breaks our configuration?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 w:before="0.0"/>
              <w:widowControl w:val="1"/>
            </w:pPr>
            <w:r w:rsidR="00000000" w:rsidDel="00000000" w:rsidRPr="00000000">
              <w:rPr>
                <w:rFonts w:ascii="Arial" w:eastAsia="Arial" w:hAnsi="Arial" w:cs="Arial"/>
                <w:i w:val="true"/>
                <w:color w:val="005580"/>
                <w:sz w:val="19.0"/>
              </w:rPr>
              <w:t xml:space="preserve">“Zoho is a mature platform with a stable API and a transparent upgrade path. We monitor platform changes as part of ongoing support. Paul can talk about what the post go-live support arrangement looks like.”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08" w:bottom="999" w:left="999" w:right="999" w:top="999" w:footer="708" w:gutter="0"/>
      <w:pgNumType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8d5e20e7-8876-e1af-bbea-d4db90f0bbe5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before="50.0"/>
      <w:pBdr>
        <w:top w:val="single" w:color="441881" w:sz="6" w:space="3"/>
      </w:pBdr>
      <w:tabs>
        <w:tab w:pos="9025" w:val="right" w:leader="none"/>
      </w:tabs>
      <w:widowControl w:val="1"/>
    </w:pPr>
    <w:r w:rsidR="00000000" w:rsidDel="00000000" w:rsidRPr="00000000">
      <w:rPr>
        <w:rFonts w:ascii="Arial" w:eastAsia="Arial" w:hAnsi="Arial" w:cs="Arial"/>
        <w:color w:val="666666"/>
        <w:sz w:val="16.0"/>
      </w:rPr>
      <w:t xml:space="preserve">A2Z Cloud  |  a2zcloud.com</w:t>
    </w:r>
    <w:r w:rsidR="00000000" w:rsidDel="00000000" w:rsidRPr="00000000">
      <w:rPr>
        <w:rFonts w:ascii="Arial" w:eastAsia="Arial" w:hAnsi="Arial" w:cs="Arial"/>
        <w:color w:val="666666"/>
        <w:sz w:val="16.0"/>
      </w:rPr>
      <w:t xml:space="preserve"> Page 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after="80.0"/>
      <w:pBdr>
        <w:bottom w:val="single" w:color="441881" w:sz="6" w:space="4"/>
      </w:pBdr>
      <w:tabs>
        <w:tab w:pos="9025" w:val="right" w:leader="none"/>
      </w:tabs>
      <w:widowControl w:val="1"/>
    </w:pPr>
    <w:r w:rsidR="00000000" w:rsidDel="00000000" w:rsidRPr="00000000">
      <w:rPr>
        <w:rFonts w:ascii="Arial" w:eastAsia="Arial" w:hAnsi="Arial" w:cs="Arial"/>
        <w:color w:val="666666"/>
        <w:sz w:val="16.0"/>
      </w:rPr>
      <w:t xml:space="preserve">Akanksha’s Demo Guide  –  UWC International</w:t>
    </w:r>
    <w:r w:rsidR="00000000" w:rsidDel="00000000" w:rsidRPr="00000000">
      <w:rPr>
        <w:rFonts w:ascii="Arial" w:eastAsia="Arial" w:hAnsi="Arial" w:cs="Arial"/>
        <w:color w:val="666666"/>
        <w:sz w:val="16.0"/>
      </w:rPr>
      <w:t xml:space="preserve"> 1 June 2026  |  15:00 BST  |  Confidential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■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■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0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Arial" w:eastAsia="Arial" w:hAnsi="Arial" w:cs="Arial"/>
      <w:sz w:val="20"/>
    </w:rPr>
    <w:unhideWhenUsed/>
    <w:qFormat/>
  </w:style>
  <w:style w:type="paragraph" w:styleId="Heading1">
    <w:name w:val="Heading 1"/>
    <w:uiPriority w:val="1"/>
    <w:basedOn w:val="Normal"/>
    <w:next w:val="Normal"/>
    <w:pPr>
      <w:spacing w:after="100.0" w:before="360.0"/>
      <w:widowControl w:val="1"/>
    </w:pPr>
    <w:rPr>
      <w:b w:val="true"/>
      <w:rFonts w:ascii="Arial" w:eastAsia="Arial" w:hAnsi="Arial" w:cs="Arial"/>
      <w:color w:val="441881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spacing w:after="60.0" w:before="200.0"/>
      <w:widowControl w:val="1"/>
    </w:pPr>
    <w:rPr>
      <w:b w:val="true"/>
      <w:rFonts w:ascii="Arial" w:eastAsia="Arial" w:hAnsi="Arial" w:cs="Arial"/>
      <w:color w:val="441881"/>
      <w:sz w:val="2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widowControl w:val="1"/>
    </w:pPr>
    <w:rPr>
      <w:color w:val="1F4D78"/>
      <w:sz w:val="24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widowControl w:val="1"/>
    </w:pPr>
    <w:rPr>
      <w:i w:val="true"/>
      <w:color w:val="2E74B5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widowControl w:val="1"/>
    </w:pPr>
    <w:rPr>
      <w:color w:val="2E74B5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widowControl w:val="1"/>
    </w:pPr>
    <w:rPr>
      <w:color w:val="1F4D78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widowControl w:val="1"/>
    </w:pPr>
    <w:rPr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footnotetext">
    <w:name w:val="footnote text"/>
    <w:uiPriority w:val="1"/>
    <w:basedOn w:val="Normal"/>
    <w:next w:val="foot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58577682">
    <w:name w:val="Strong"/>
    <w:uiPriority w:val="1"/>
    <w:basedOn w:val="Normal"/>
    <w:next w:val="Normal"/>
    <w:pPr>
      <w:widowControl w:val="1"/>
    </w:pPr>
    <w:rPr>
      <w:b w:val="true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paragraph" w:styleId="endnotetext">
    <w:name w:val="endnote text"/>
    <w:uiPriority w:val="1"/>
    <w:basedOn w:val="Normal"/>
    <w:next w:val="endnotetext"/>
    <w:pPr>
      <w:spacing w:line="240.0" w:lineRule="auto" w:after="0.0"/>
      <w:widowControl w:val="1"/>
    </w:pPr>
    <w:rPr>
      <w:sz w:val="20"/>
    </w:rPr>
    <w:unhideWhenUsed/>
    <w:qFormat/>
  </w:style>
  <w:style w:type="character" w:styleId="EndnoteTextChar">
    <w:name w:val="Endnote Text Char"/>
    <w:uiPriority w:val="1"/>
    <w:basedOn w:val="DefaultParagraphFont"/>
    <w:rPr>
      <w:sz w:val="20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563C1"/>
      <w:u w:val="single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footnotereference">
    <w:name w:val="footnote reference"/>
    <w:uiPriority w:val="1"/>
    <w:basedOn w:val="DefaultParagraphFont"/>
    <w:rPr>
      <w:vertAlign w:val="superscript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FootnoteTextChar">
    <w:name w:val="Footnote Text Char"/>
    <w:uiPriority w:val="1"/>
    <w:basedOn w:val="DefaultParagraphFont"/>
    <w:rPr>
      <w:sz w:val="20"/>
    </w:rPr>
    <w:unhideWhenUsed/>
    <w:qFormat/>
  </w:style>
  <w:style w:type="character" w:styleId="endnotereference">
    <w:name w:val="endnote reference"/>
    <w:uiPriority w:val="1"/>
    <w:basedOn w:val="DefaultParagraphFont"/>
    <w:rPr>
      <w:vertAlign w:val="superscript"/>
    </w:rPr>
    <w:unhideWhenUsed/>
    <w:qFormat/>
  </w:style>
  <w:style w:type="table" w:styleId="7156144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9539164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7169267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6927226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4712899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2479213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2244163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3988584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6485381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8579469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1856367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1763339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8635351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6768332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3873958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7395652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9959173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3638961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2631858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4412389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4212343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1636792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2167366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8796749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9328838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2569964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7694475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3123548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9126965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3819913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1226977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7315289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9535648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3824281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9811691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6922372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4794634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4561855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4899264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7664717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2129939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1624183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7436883">
    <w:uiPriority w:val="1"/>
    <w:tblPr/>
    <w:tcPr>
      <w:tcMar>
        <w:left w:w="90" w:type="dxa"/>
        <w:right w:w="90" w:type="dxa"/>
      </w:tcMar>
      <w:vAlign w:val="top"/>
    </w:tcPr>
    <w:unhideWhenUsed/>
    <w:qFormat/>
  </w:style>
  <w:style w:type="table" w:styleId="6686684">
    <w:uiPriority w:val="1"/>
    <w:tblPr/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8d5e20e7-8876-e1af-bbea-d4db90f0bbe5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