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52" w:lineRule="auto"/>
        <w:jc w:val="center"/>
      </w:pPr>
      <w:r>
        <w:rPr>
          <w:rFonts w:ascii="Times New Roman" w:hAnsi="Times New Roman"/>
          <w:b/>
          <w:i w:val="0"/>
          <w:sz w:val="34"/>
        </w:rPr>
        <w:t>SCI-INTEL: Acquisition-Aware Retrieval and Quality-Risk Curation of Scientific Microscopy Images</w:t>
      </w:r>
    </w:p>
    <w:tbl>
      <w:tblPr>
        <w:tblW w:type="auto" w:w="0"/>
        <w:jc w:val="center"/>
        <w:tblLook w:firstColumn="1" w:firstRow="1" w:lastColumn="0" w:lastRow="0" w:noHBand="0" w:noVBand="1" w:val="04A0"/>
      </w:tblPr>
      <w:tblGrid>
        <w:gridCol w:w="5220"/>
        <w:gridCol w:w="5220"/>
      </w:tblGrid>
      <w:tr>
        <w:tc>
          <w:tcPr>
            <w:tcW w:type="dxa" w:w="5220"/>
          </w:tcPr>
          <w:p>
            <w:pPr>
              <w:spacing w:before="20" w:after="40" w:line="240" w:lineRule="auto"/>
              <w:jc w:val="center"/>
            </w:pPr>
            <w:r>
              <w:rPr>
                <w:rFonts w:ascii="Times New Roman" w:hAnsi="Times New Roman"/>
                <w:sz w:val="17"/>
              </w:rPr>
              <w:t>PRANET PALLATI (Primary &amp; Corresponding Author)</w:t>
              <w:br/>
              <w:t>24881A05B7</w:t>
              <w:br/>
              <w:t>Department of Computer Science and Engineering</w:t>
              <w:br/>
              <w:t>Vardhaman College of Engineering</w:t>
              <w:br/>
              <w:t>Hyderabad, Telangana, India</w:t>
              <w:br/>
              <w:t>24881A05B7@student.vardhaman.org</w:t>
            </w:r>
          </w:p>
        </w:tc>
        <w:tc>
          <w:tcPr>
            <w:tcW w:type="dxa" w:w="5220"/>
          </w:tcPr>
          <w:p>
            <w:pPr>
              <w:spacing w:before="20" w:after="40" w:line="240" w:lineRule="auto"/>
              <w:jc w:val="center"/>
            </w:pPr>
            <w:r>
              <w:rPr>
                <w:rFonts w:ascii="Times New Roman" w:hAnsi="Times New Roman"/>
                <w:sz w:val="17"/>
              </w:rPr>
              <w:t>GOLLAKOTA CHARAN DEEP (Author)</w:t>
              <w:br/>
              <w:t>24881A0586</w:t>
              <w:br/>
              <w:t>Department of Computer Science and Engineering</w:t>
              <w:br/>
              <w:t>Vardhaman College of Engineering</w:t>
              <w:br/>
              <w:t>Hyderabad, Telangana, India</w:t>
              <w:br/>
              <w:t>24881A0586@student.vardhaman.org</w:t>
            </w:r>
          </w:p>
        </w:tc>
      </w:tr>
      <w:tr>
        <w:tc>
          <w:tcPr>
            <w:tcW w:type="dxa" w:w="5220"/>
          </w:tcPr>
          <w:p>
            <w:pPr>
              <w:spacing w:before="20" w:after="40" w:line="240" w:lineRule="auto"/>
              <w:jc w:val="center"/>
            </w:pPr>
            <w:r>
              <w:rPr>
                <w:rFonts w:ascii="Times New Roman" w:hAnsi="Times New Roman"/>
                <w:sz w:val="17"/>
              </w:rPr>
              <w:t>POOJA VUNNAM (Author)</w:t>
              <w:br/>
              <w:t>24881A05B5</w:t>
              <w:br/>
              <w:t>Department of Computer Science and Engineering</w:t>
              <w:br/>
              <w:t>Vardhaman College of Engineering</w:t>
              <w:br/>
              <w:t>Hyderabad, Telangana, India</w:t>
              <w:br/>
              <w:t>24881A05B5@student.vardhaman.org</w:t>
            </w:r>
          </w:p>
        </w:tc>
        <w:tc>
          <w:tcPr>
            <w:tcW w:type="dxa" w:w="5220"/>
          </w:tcPr>
          <w:p>
            <w:pPr>
              <w:spacing w:before="20" w:after="40" w:line="240" w:lineRule="auto"/>
              <w:jc w:val="center"/>
            </w:pPr>
            <w:r>
              <w:rPr>
                <w:rFonts w:ascii="Times New Roman" w:hAnsi="Times New Roman"/>
                <w:sz w:val="17"/>
              </w:rPr>
              <w:t>MS. C. BHAVANA (Faculty Guide &amp; Supervisor, Author)</w:t>
              <w:br/>
              <w:t>Assistant Professor</w:t>
              <w:br/>
              <w:t>Department of Computer Science and Engineering</w:t>
              <w:br/>
              <w:t>Vardhaman College of Engineering</w:t>
              <w:br/>
              <w:t>Hyderabad, Telangana, India</w:t>
              <w:br/>
              <w:t>bhavana1817@vardhaman.org</w:t>
            </w:r>
          </w:p>
        </w:tc>
      </w:tr>
    </w:tbl>
    <w:p>
      <w:pPr>
        <w:spacing w:before="0" w:after="80"/>
      </w:pPr>
    </w:p>
    <w:p>
      <w:pPr>
        <w:spacing w:after="60" w:before="0" w:line="252" w:lineRule="auto"/>
        <w:jc w:val="both"/>
      </w:pPr>
      <w:r>
        <w:rPr>
          <w:rFonts w:ascii="Times New Roman" w:hAnsi="Times New Roman"/>
          <w:b/>
          <w:i w:val="0"/>
          <w:sz w:val="18"/>
        </w:rPr>
        <w:t>Abstract—Retrieval and quality control of scanning electron microscopy (SEM) archives are complicated because one specimen looks different under different instruments, detectors, and accelerating voltages. We present SCI-INTEL, a local platform that keeps two separate representations: a frozen DINOv2 ViT-S/14 for image-derived quality screening and an acquisition-aware supervised-contrastive adapter for same-specimen retrieval. The branches are combined by deterministic evidence retrieval, rule-based suggested actions, uncertainty-aware abstention, and curator review, not by learned fusion. On an instrument-held-out split of the HCCI collection (212 queries; three specimens shared across splits), the adapter reduced the observed acquisition-geometry similarity gap from 0.2016 to 0.0681 (66.23%; paired dz = 2.19, p = 5.03×10^-36, 210 queries) and raised Recall@5 from 0.9858 to 0.9921 under an unmasked-distractor protocol, but lowered 11-class synthetic-artifact macro-F1 from 0.6837 to 0.6323. Frozen DINOv2 reached binary AUROC 0.8582, and model-derived suspicious-region localization reached macro IoU 0.4454 (Dice 0.5103) on 500 synthetic masks. Selective prediction reached 99.08% accuracy at 29.73% coverage, with weak calibration (ECE 0.3333), and evidence was available for all 55 evaluated queries. Results rest on synthetic artifacts and limited specimen coverage; they do not establish physical-defect detection or unseen-specimen generalization.</w:t>
      </w:r>
    </w:p>
    <w:p>
      <w:pPr>
        <w:spacing w:after="120" w:before="0" w:line="252" w:lineRule="auto"/>
        <w:jc w:val="both"/>
      </w:pPr>
      <w:r>
        <w:rPr>
          <w:rFonts w:ascii="Times New Roman" w:hAnsi="Times New Roman"/>
          <w:b/>
          <w:i/>
          <w:sz w:val="18"/>
        </w:rPr>
        <w:t>Index Terms—scientific microscopy, image retrieval, acquisition robustness, quality assessment, human-in-the-loop curation</w:t>
      </w:r>
    </w:p>
    <w:p>
      <w:pPr>
        <w:spacing w:before="160" w:after="60"/>
        <w:jc w:val="center"/>
      </w:pPr>
      <w:r>
        <w:rPr>
          <w:rFonts w:ascii="Times New Roman" w:hAnsi="Times New Roman"/>
          <w:b/>
          <w:sz w:val="20"/>
        </w:rPr>
        <w:t>I. INTRODUCTION</w:t>
      </w:r>
    </w:p>
    <w:p>
      <w:pPr>
        <w:spacing w:after="80" w:before="0" w:line="252" w:lineRule="auto"/>
        <w:jc w:val="both"/>
      </w:pPr>
      <w:r>
        <w:rPr>
          <w:rFonts w:ascii="Times New Roman" w:hAnsi="Times New Roman"/>
          <w:b w:val="0"/>
          <w:i w:val="0"/>
          <w:sz w:val="20"/>
        </w:rPr>
        <w:t>Scanning electron microscopy (SEM) images depend strongly on how they are acquired. Accelerating voltage, detector (secondary or backscattered electrons), working distance, and focus change contrast and apparent texture, so one specimen can look more different across settings than different specimens do under identical settings. In shared archives, similarity search then returns same-acquisition neighbors instead of same-specimen evidence, and quality control is slow and subjective.</w:t>
      </w:r>
    </w:p>
    <w:p>
      <w:pPr>
        <w:spacing w:after="80" w:before="0" w:line="252" w:lineRule="auto"/>
        <w:jc w:val="both"/>
      </w:pPr>
      <w:r>
        <w:rPr>
          <w:rFonts w:ascii="Times New Roman" w:hAnsi="Times New Roman"/>
          <w:b w:val="0"/>
          <w:i w:val="0"/>
          <w:sz w:val="20"/>
        </w:rPr>
        <w:t>Four problems follow: (1) acquisition-induced visual variance; (2) the unverified benefit of acquisition metadata for ranking; (3) redundant re-scans, where aggressive deduplication could discard legitimate acquisitions; and (4) automated suggestions without a human decision point or traceable records. We treat the task as scientific-image retrieval and quality-risk curation. It is not diagnosis, and every indicator is image-derived and advisory.</w:t>
      </w:r>
    </w:p>
    <w:p>
      <w:pPr>
        <w:spacing w:after="80" w:before="0" w:line="252" w:lineRule="auto"/>
        <w:jc w:val="both"/>
      </w:pPr>
      <w:r>
        <w:rPr>
          <w:rFonts w:ascii="Times New Roman" w:hAnsi="Times New Roman"/>
          <w:b w:val="0"/>
          <w:i w:val="0"/>
          <w:sz w:val="20"/>
        </w:rPr>
        <w:t>Contributions. (C1) Acquisition-aware retrieval: a supervised-contrastive adapter on frozen DINOv2 features, trained with same-acquisition pairs masked and evaluated with unmasked distractors on an instrument-held-out split. (C2) A quantified specialization trade-off: adaptation helps retrieval but lowers artifact sensitivity, so screening stays on the frozen representation. (C3) Screening and evidence: image-derived quality risk, model-derived suspicious-region localization, evidence retrieval, and uncertainty-aware abstention, evaluated on controlled synthetic degradations. (C4) Engineering integration: a reproducible local platform that persists curator decisions, provenance events, and audit logs. C1 and C2 are the methodological findings; C4 is integration.</w:t>
      </w:r>
    </w:p>
    <w:p>
      <w:pPr>
        <w:spacing w:before="160" w:after="60"/>
        <w:jc w:val="center"/>
      </w:pPr>
      <w:r>
        <w:rPr>
          <w:rFonts w:ascii="Times New Roman" w:hAnsi="Times New Roman"/>
          <w:b/>
          <w:sz w:val="20"/>
        </w:rPr>
        <w:t>II. RELATED WORK</w:t>
      </w:r>
    </w:p>
    <w:p>
      <w:pPr>
        <w:spacing w:after="80" w:before="0" w:line="252" w:lineRule="auto"/>
        <w:jc w:val="both"/>
      </w:pPr>
      <w:r>
        <w:rPr>
          <w:rFonts w:ascii="Times New Roman" w:hAnsi="Times New Roman"/>
          <w:b w:val="0"/>
          <w:i w:val="0"/>
          <w:sz w:val="20"/>
        </w:rPr>
        <w:t>Micrograph retrieval. Handcrafted descriptors such as GLCM textures [1], SIFT [2], and visual-word signatures [3] were used for microstructure search; see [4] and the CBIR survey [5]. MicroNet pre-training improves micrograph segmentation [6]. Foundation features. Vision Transformers [7] trained by self-distillation [8], masked modeling [9], or at scale as DINOv2 [10] give general features; ResNet [11] is a common baseline. Acquisition shift. Contrastive [12] and supervised contrastive [13] objectives shape metric spaces, and domain-divergence theory [14] motivates treating instrument change as distribution shift. Indexing. FAISS [15] and HNSW [16] provide vector search. Quality and abstention. No-reference quality [17], structural similarity [18], anomaly benchmarks [19], selective classification [20, 21], and calibration [22] inform our screening and abstention. Curation. Perceptual hashing [23] and FAIR principles [24] inform deduplication and provenance.</w:t>
      </w:r>
    </w:p>
    <w:p>
      <w:pPr>
        <w:spacing w:before="160" w:after="60"/>
        <w:jc w:val="center"/>
      </w:pPr>
      <w:r>
        <w:rPr>
          <w:rFonts w:ascii="Times New Roman" w:hAnsi="Times New Roman"/>
          <w:b/>
          <w:sz w:val="20"/>
        </w:rPr>
        <w:t>III. SCI-INTEL ARCHITECTURE AND METHOD</w:t>
      </w:r>
    </w:p>
    <w:p>
      <w:pPr>
        <w:spacing w:before="100" w:after="40"/>
        <w:jc w:val="left"/>
      </w:pPr>
      <w:r>
        <w:rPr>
          <w:rFonts w:ascii="Times New Roman" w:hAnsi="Times New Roman"/>
          <w:i/>
          <w:sz w:val="19"/>
        </w:rPr>
        <w:t>A. Workflow and branches</w:t>
      </w:r>
    </w:p>
    <w:p>
      <w:pPr>
        <w:spacing w:after="80" w:before="0" w:line="252" w:lineRule="auto"/>
        <w:jc w:val="both"/>
      </w:pPr>
      <w:r>
        <w:rPr>
          <w:rFonts w:ascii="Times New Roman" w:hAnsi="Times New Roman"/>
          <w:b w:val="0"/>
          <w:i w:val="0"/>
          <w:sz w:val="20"/>
        </w:rPr>
        <w:t>Fig. 1 shows the workflow: upload, validation, storage, metadata, representation, quality screening, localization, retrieval, evidence retrieval, explanation, suggested action, uncertainty handling, review, curation, audit, and provenance. A FastAPI backend with JWT authentication, an SQLAlchemy database (SQLite by default), FAISS indices, and a React/TypeScript workbench implement it locally. Two representations stay separate: dinov2_base (frozen DINOv2 ViT-S/14) and phase4_adapted (an adapter head on DINOv2 features). They share no weights and are combined only by deterministic orchestration.</w:t>
      </w:r>
    </w:p>
    <w:p>
      <w:r>
        <w:drawing>
          <wp:inline xmlns:a="http://schemas.openxmlformats.org/drawingml/2006/main" xmlns:pic="http://schemas.openxmlformats.org/drawingml/2006/picture">
            <wp:extent cx="6492240" cy="3650131"/>
            <wp:docPr id="1" name="Picture 1"/>
            <wp:cNvGraphicFramePr>
              <a:graphicFrameLocks noChangeAspect="1"/>
            </wp:cNvGraphicFramePr>
            <a:graphic>
              <a:graphicData uri="http://schemas.openxmlformats.org/drawingml/2006/picture">
                <pic:pic>
                  <pic:nvPicPr>
                    <pic:cNvPr id="0" name="fig1_architecture_workflow.png"/>
                    <pic:cNvPicPr/>
                  </pic:nvPicPr>
                  <pic:blipFill>
                    <a:blip r:embed="rId9"/>
                    <a:stretch>
                      <a:fillRect/>
                    </a:stretch>
                  </pic:blipFill>
                  <pic:spPr>
                    <a:xfrm>
                      <a:off x="0" y="0"/>
                      <a:ext cx="6492240" cy="3650131"/>
                    </a:xfrm>
                    <a:prstGeom prst="rect"/>
                  </pic:spPr>
                </pic:pic>
              </a:graphicData>
            </a:graphic>
          </wp:inline>
        </w:drawing>
      </w:r>
    </w:p>
    <w:p>
      <w:pPr>
        <w:spacing w:after="80" w:before="0" w:line="252" w:lineRule="auto"/>
        <w:jc w:val="center"/>
      </w:pPr>
      <w:r>
        <w:rPr>
          <w:rFonts w:ascii="Times New Roman" w:hAnsi="Times New Roman"/>
          <w:b w:val="0"/>
          <w:i w:val="0"/>
          <w:sz w:val="16"/>
        </w:rPr>
        <w:t>Fig. 1. SCI-INTEL architecture. The branches dinov2_base and phase4_adapted share no weights and are not jointly trained or fused; they are combined only by deterministic orchestration. Curators remain the decision authority.</w:t>
      </w:r>
    </w:p>
    <w:p>
      <w:pPr>
        <w:spacing w:before="100" w:after="40"/>
        <w:jc w:val="left"/>
      </w:pPr>
      <w:r>
        <w:rPr>
          <w:rFonts w:ascii="Times New Roman" w:hAnsi="Times New Roman"/>
          <w:i/>
          <w:sz w:val="19"/>
        </w:rPr>
        <w:t>B. Representation and retrieval</w:t>
      </w:r>
    </w:p>
    <w:p>
      <w:pPr>
        <w:spacing w:after="80" w:before="0" w:line="252" w:lineRule="auto"/>
        <w:jc w:val="both"/>
      </w:pPr>
      <w:r>
        <w:rPr>
          <w:rFonts w:ascii="Times New Roman" w:hAnsi="Times New Roman"/>
          <w:b w:val="0"/>
          <w:i w:val="0"/>
          <w:sz w:val="20"/>
        </w:rPr>
        <w:t>Images are resized, ImageNet-normalized, and encoded into 384-d vectors, then L2-normalized; similarity is cosine (inner product) in exact FAISS IndexFlatIP indices, one per representation:</w:t>
        <w:br/>
        <w:t>ẑ = z / ‖z‖₂,    s(q, x) = ẑ_qᵀ ẑ_x     (1)</w:t>
        <w:br/>
        <w:t>The adapter maps normalized features to a unit-norm 384-d embedding (seed 42: linear head; seeds 123 and 2024: Linear–LayerNorm–GELU–Linear). With specimen labels m and acquisition labels a, positives P(i) are same-specimen, different-acquisition pairs; same-specimen, same-acquisition pairs are excluded from the positives and from the comparison set V(i):</w:t>
        <w:br/>
        <w:t>ℒ = −(1/|I|) ∑_{i∈I} (1/|P(i)|) ∑_{p∈P(i)} log[exp(s_ip / τ) / ∑_{a∈V(i)} exp(s_ia / τ)]     (2)</w:t>
        <w:br/>
        <w:t>with τ = 0.07. Training used AdamW [25] (learning rate 10⁻⁴, weight decay 10⁻⁴, batch 64, at most 40 epochs) on 427 images, and 135 validation images selected the checkpoint (best epoch 1 on a saturated validation set). The platform serves the seed-42 head after checkpoint-hash verification. The observed acquisition gap over same-specimen pairs is:</w:t>
        <w:br/>
        <w:t>Δ = s̄_within − s̄_cross,    R_Δ = (Δ_base − Δ_adapt) / Δ_base × 100%     (3)</w:t>
      </w:r>
    </w:p>
    <w:p>
      <w:pPr>
        <w:spacing w:before="100" w:after="40"/>
        <w:jc w:val="left"/>
      </w:pPr>
      <w:r>
        <w:rPr>
          <w:rFonts w:ascii="Times New Roman" w:hAnsi="Times New Roman"/>
          <w:i/>
          <w:sz w:val="19"/>
        </w:rPr>
        <w:t>C. Screening, evidence, and review</w:t>
      </w:r>
    </w:p>
    <w:p>
      <w:pPr>
        <w:spacing w:after="80" w:before="0" w:line="252" w:lineRule="auto"/>
        <w:jc w:val="both"/>
      </w:pPr>
      <w:r>
        <w:rPr>
          <w:rFonts w:ascii="Times New Roman" w:hAnsi="Times New Roman"/>
          <w:b w:val="0"/>
          <w:i w:val="0"/>
          <w:sz w:val="20"/>
        </w:rPr>
        <w:t>Quality risk: the platform combines Laplacian variance, entropy, clipping ratio, and an FFT high-frequency ratio into a composite risk (flag at ≥ 0.50); offline evaluation adds a linear probe on frozen DINOv2 features for 11 synthetic categories, which is not part of the deployed engine. Localization thresholds a 16×16 patch-residual saliency map (|patch mean − image median|, min–max normalized, threshold 0.50) into boxes; it is not attention rollout and its output is a model-derived suspicious region, never a confirmed defect. Novelty is the mean cosine distance to the five nearest HCCI reference embeddings. Uncertainty uses confidence, normalized entropy, and top-two margin; the frozen configuration abstains at confidence &lt; 0.40, entropy &gt; 0.75, or margin &lt; 0.10.</w:t>
      </w:r>
    </w:p>
    <w:p>
      <w:pPr>
        <w:spacing w:after="80" w:before="0" w:line="252" w:lineRule="auto"/>
        <w:jc w:val="both"/>
      </w:pPr>
      <w:r>
        <w:rPr>
          <w:rFonts w:ascii="Times New Roman" w:hAnsi="Times New Roman"/>
          <w:b w:val="0"/>
          <w:i w:val="0"/>
          <w:sz w:val="20"/>
        </w:rPr>
        <w:t>Evidence and action: a second retrieval returns comparable references (same specimen across acquisitions, cross-instrument, quality-compatible), and a rule catalog maps indicators to suggested corrective actions. Curators accept, flag, request re-acquisition, mark (not) duplicate, or add notes. The ingestion duplicate cascade declares exact duplicates by file or decoded-pixel SHA-256, and potential near-duplicates only when a perceptual-hash gate (threshold 10 on hash-string differences), DINOv2 and adapted cosine ≥ 0.985, and SSIM ≥ 0.95 all hold; the multi-image service applies its own rules (exact SHA-256; SSIM ≥ 0.95 with mean absolute error ≤ 5; cosine ≥ 0.75 for 'similar'). Results guide review and never delete images; no labeled benchmark supports their error rates. Decisions, provenance events, and audit logs are stored as database records; they are not hash-chained or tamper-evident.</w:t>
      </w:r>
    </w:p>
    <w:p>
      <w:pPr>
        <w:spacing w:before="160" w:after="60"/>
        <w:jc w:val="center"/>
      </w:pPr>
      <w:r>
        <w:rPr>
          <w:rFonts w:ascii="Times New Roman" w:hAnsi="Times New Roman"/>
          <w:b/>
          <w:sz w:val="20"/>
        </w:rPr>
        <w:t>IV. EXPERIMENTAL SETUP</w:t>
      </w:r>
    </w:p>
    <w:p>
      <w:pPr>
        <w:spacing w:after="80" w:before="0" w:line="252" w:lineRule="auto"/>
        <w:jc w:val="both"/>
      </w:pPr>
      <w:r>
        <w:rPr>
          <w:rFonts w:ascii="Times New Roman" w:hAnsi="Times New Roman"/>
          <w:b w:val="0"/>
          <w:i w:val="0"/>
          <w:sz w:val="20"/>
        </w:rPr>
        <w:t>Table I lists the 6,085 active micrographs. The HCCI split [27] (the record lists 777 micrographs; the deposited archive and our manifest contain 774) is instrument-disjoint (train: Helios; validation: VEGA3; test: Zeiss Gemini) with no image, hash, or near-duplicate overlap, but the same three steel specimens occur in every split. The task is acquisition-robust same-specimen retrieval, not unseen-specimen generalization. Carinthia [28] (100 images) serves a cross-domain novelty screen; BBBC021 [26] (fluorescence) is used only for ingestion and metadata profiling. Larger registered collections [29] were not evaluated.</w:t>
      </w:r>
    </w:p>
    <w:tbl>
      <w:tblPr>
        <w:tblW w:type="auto" w:w="0"/>
        <w:jc w:val="center"/>
        <w:tblLook w:firstColumn="1" w:firstRow="1" w:lastColumn="0" w:lastRow="0" w:noHBand="0" w:noVBand="1" w:val="04A0"/>
      </w:tblPr>
      <w:tblGrid>
        <w:gridCol w:w="2088"/>
        <w:gridCol w:w="2088"/>
        <w:gridCol w:w="2088"/>
        <w:gridCol w:w="2088"/>
        <w:gridCol w:w="2088"/>
      </w:tblGrid>
      <w:tr>
        <w:tc>
          <w:tcPr>
            <w:tcW w:type="dxa" w:w="2088"/>
            <w:shd w:fill="F1F5F9"/>
          </w:tcPr>
          <w:p>
            <w:pPr>
              <w:spacing w:before="20" w:after="20" w:line="240" w:lineRule="auto"/>
              <w:jc w:val="center"/>
            </w:pPr>
            <w:r>
              <w:rPr>
                <w:rFonts w:ascii="Times New Roman" w:hAnsi="Times New Roman"/>
                <w:b/>
                <w:sz w:val="16"/>
              </w:rPr>
              <w:t>Dataset</w:t>
            </w:r>
          </w:p>
        </w:tc>
        <w:tc>
          <w:tcPr>
            <w:tcW w:type="dxa" w:w="2088"/>
            <w:shd w:fill="F1F5F9"/>
          </w:tcPr>
          <w:p>
            <w:pPr>
              <w:spacing w:before="20" w:after="20" w:line="240" w:lineRule="auto"/>
              <w:jc w:val="center"/>
            </w:pPr>
            <w:r>
              <w:rPr>
                <w:rFonts w:ascii="Times New Roman" w:hAnsi="Times New Roman"/>
                <w:b/>
                <w:sz w:val="16"/>
              </w:rPr>
              <w:t>Images</w:t>
            </w:r>
          </w:p>
        </w:tc>
        <w:tc>
          <w:tcPr>
            <w:tcW w:type="dxa" w:w="2088"/>
            <w:shd w:fill="F1F5F9"/>
          </w:tcPr>
          <w:p>
            <w:pPr>
              <w:spacing w:before="20" w:after="20" w:line="240" w:lineRule="auto"/>
              <w:jc w:val="center"/>
            </w:pPr>
            <w:r>
              <w:rPr>
                <w:rFonts w:ascii="Times New Roman" w:hAnsi="Times New Roman"/>
                <w:b/>
                <w:sz w:val="16"/>
              </w:rPr>
              <w:t>Format</w:t>
            </w:r>
          </w:p>
        </w:tc>
        <w:tc>
          <w:tcPr>
            <w:tcW w:type="dxa" w:w="2088"/>
            <w:shd w:fill="F1F5F9"/>
          </w:tcPr>
          <w:p>
            <w:pPr>
              <w:spacing w:before="20" w:after="20" w:line="240" w:lineRule="auto"/>
              <w:jc w:val="center"/>
            </w:pPr>
            <w:r>
              <w:rPr>
                <w:rFonts w:ascii="Times New Roman" w:hAnsi="Times New Roman"/>
                <w:b/>
                <w:sz w:val="16"/>
              </w:rPr>
              <w:t>License</w:t>
            </w:r>
          </w:p>
        </w:tc>
        <w:tc>
          <w:tcPr>
            <w:tcW w:type="dxa" w:w="2088"/>
            <w:shd w:fill="F1F5F9"/>
          </w:tcPr>
          <w:p>
            <w:pPr>
              <w:spacing w:before="20" w:after="20" w:line="240" w:lineRule="auto"/>
              <w:jc w:val="center"/>
            </w:pPr>
            <w:r>
              <w:rPr>
                <w:rFonts w:ascii="Times New Roman" w:hAnsi="Times New Roman"/>
                <w:b/>
                <w:sz w:val="16"/>
              </w:rPr>
              <w:t>Role</w:t>
            </w:r>
          </w:p>
        </w:tc>
      </w:tr>
      <w:tr>
        <w:tc>
          <w:tcPr>
            <w:tcW w:type="dxa" w:w="2088"/>
          </w:tcPr>
          <w:p>
            <w:pPr>
              <w:spacing w:before="20" w:after="20" w:line="240" w:lineRule="auto"/>
              <w:jc w:val="left"/>
            </w:pPr>
            <w:r>
              <w:rPr>
                <w:rFonts w:ascii="Times New Roman" w:hAnsi="Times New Roman"/>
                <w:sz w:val="16"/>
              </w:rPr>
              <w:t>HCCI (SEM, cast iron)</w:t>
            </w:r>
          </w:p>
        </w:tc>
        <w:tc>
          <w:tcPr>
            <w:tcW w:type="dxa" w:w="2088"/>
          </w:tcPr>
          <w:p>
            <w:pPr>
              <w:spacing w:before="20" w:after="20" w:line="240" w:lineRule="auto"/>
              <w:jc w:val="center"/>
            </w:pPr>
            <w:r>
              <w:rPr>
                <w:rFonts w:ascii="Times New Roman" w:hAnsi="Times New Roman"/>
                <w:sz w:val="16"/>
              </w:rPr>
              <w:t>774</w:t>
            </w:r>
          </w:p>
        </w:tc>
        <w:tc>
          <w:tcPr>
            <w:tcW w:type="dxa" w:w="2088"/>
          </w:tcPr>
          <w:p>
            <w:pPr>
              <w:spacing w:before="20" w:after="20" w:line="240" w:lineRule="auto"/>
              <w:jc w:val="center"/>
            </w:pPr>
            <w:r>
              <w:rPr>
                <w:rFonts w:ascii="Times New Roman" w:hAnsi="Times New Roman"/>
                <w:sz w:val="16"/>
              </w:rPr>
              <w:t>PNG</w:t>
            </w:r>
          </w:p>
        </w:tc>
        <w:tc>
          <w:tcPr>
            <w:tcW w:type="dxa" w:w="2088"/>
          </w:tcPr>
          <w:p>
            <w:pPr>
              <w:spacing w:before="20" w:after="20" w:line="240" w:lineRule="auto"/>
              <w:jc w:val="center"/>
            </w:pPr>
            <w:r>
              <w:rPr>
                <w:rFonts w:ascii="Times New Roman" w:hAnsi="Times New Roman"/>
                <w:sz w:val="16"/>
              </w:rPr>
              <w:t>CC BY 4.0</w:t>
            </w:r>
          </w:p>
        </w:tc>
        <w:tc>
          <w:tcPr>
            <w:tcW w:type="dxa" w:w="2088"/>
          </w:tcPr>
          <w:p>
            <w:pPr>
              <w:spacing w:before="20" w:after="20" w:line="240" w:lineRule="auto"/>
              <w:jc w:val="center"/>
            </w:pPr>
            <w:r>
              <w:rPr>
                <w:rFonts w:ascii="Times New Roman" w:hAnsi="Times New Roman"/>
                <w:sz w:val="16"/>
              </w:rPr>
              <w:t>Retrieval; synthetic</w:t>
            </w:r>
          </w:p>
        </w:tc>
      </w:tr>
      <w:tr>
        <w:tc>
          <w:tcPr>
            <w:tcW w:type="dxa" w:w="2088"/>
          </w:tcPr>
          <w:p>
            <w:pPr>
              <w:spacing w:before="20" w:after="20" w:line="240" w:lineRule="auto"/>
              <w:jc w:val="left"/>
            </w:pPr>
            <w:r>
              <w:rPr>
                <w:rFonts w:ascii="Times New Roman" w:hAnsi="Times New Roman"/>
                <w:sz w:val="16"/>
              </w:rPr>
              <w:t>Carinthia (SEM)</w:t>
            </w:r>
          </w:p>
        </w:tc>
        <w:tc>
          <w:tcPr>
            <w:tcW w:type="dxa" w:w="2088"/>
          </w:tcPr>
          <w:p>
            <w:pPr>
              <w:spacing w:before="20" w:after="20" w:line="240" w:lineRule="auto"/>
              <w:jc w:val="center"/>
            </w:pPr>
            <w:r>
              <w:rPr>
                <w:rFonts w:ascii="Times New Roman" w:hAnsi="Times New Roman"/>
                <w:sz w:val="16"/>
              </w:rPr>
              <w:t>4,591</w:t>
            </w:r>
          </w:p>
        </w:tc>
        <w:tc>
          <w:tcPr>
            <w:tcW w:type="dxa" w:w="2088"/>
          </w:tcPr>
          <w:p>
            <w:pPr>
              <w:spacing w:before="20" w:after="20" w:line="240" w:lineRule="auto"/>
              <w:jc w:val="center"/>
            </w:pPr>
            <w:r>
              <w:rPr>
                <w:rFonts w:ascii="Times New Roman" w:hAnsi="Times New Roman"/>
                <w:sz w:val="16"/>
              </w:rPr>
              <w:t>JPEG</w:t>
            </w:r>
          </w:p>
        </w:tc>
        <w:tc>
          <w:tcPr>
            <w:tcW w:type="dxa" w:w="2088"/>
          </w:tcPr>
          <w:p>
            <w:pPr>
              <w:spacing w:before="20" w:after="20" w:line="240" w:lineRule="auto"/>
              <w:jc w:val="center"/>
            </w:pPr>
            <w:r>
              <w:rPr>
                <w:rFonts w:ascii="Times New Roman" w:hAnsi="Times New Roman"/>
                <w:sz w:val="16"/>
              </w:rPr>
              <w:t>CC BY 4.0</w:t>
            </w:r>
          </w:p>
        </w:tc>
        <w:tc>
          <w:tcPr>
            <w:tcW w:type="dxa" w:w="2088"/>
          </w:tcPr>
          <w:p>
            <w:pPr>
              <w:spacing w:before="20" w:after="20" w:line="240" w:lineRule="auto"/>
              <w:jc w:val="center"/>
            </w:pPr>
            <w:r>
              <w:rPr>
                <w:rFonts w:ascii="Times New Roman" w:hAnsi="Times New Roman"/>
                <w:sz w:val="16"/>
              </w:rPr>
              <w:t>Novelty screen</w:t>
            </w:r>
          </w:p>
        </w:tc>
      </w:tr>
      <w:tr>
        <w:tc>
          <w:tcPr>
            <w:tcW w:type="dxa" w:w="2088"/>
          </w:tcPr>
          <w:p>
            <w:pPr>
              <w:spacing w:before="20" w:after="20" w:line="240" w:lineRule="auto"/>
              <w:jc w:val="left"/>
            </w:pPr>
            <w:r>
              <w:rPr>
                <w:rFonts w:ascii="Times New Roman" w:hAnsi="Times New Roman"/>
                <w:sz w:val="16"/>
              </w:rPr>
              <w:t>BBBC021 (bioimage)</w:t>
            </w:r>
          </w:p>
        </w:tc>
        <w:tc>
          <w:tcPr>
            <w:tcW w:type="dxa" w:w="2088"/>
          </w:tcPr>
          <w:p>
            <w:pPr>
              <w:spacing w:before="20" w:after="20" w:line="240" w:lineRule="auto"/>
              <w:jc w:val="center"/>
            </w:pPr>
            <w:r>
              <w:rPr>
                <w:rFonts w:ascii="Times New Roman" w:hAnsi="Times New Roman"/>
                <w:sz w:val="16"/>
              </w:rPr>
              <w:t>720</w:t>
            </w:r>
          </w:p>
        </w:tc>
        <w:tc>
          <w:tcPr>
            <w:tcW w:type="dxa" w:w="2088"/>
          </w:tcPr>
          <w:p>
            <w:pPr>
              <w:spacing w:before="20" w:after="20" w:line="240" w:lineRule="auto"/>
              <w:jc w:val="center"/>
            </w:pPr>
            <w:r>
              <w:rPr>
                <w:rFonts w:ascii="Times New Roman" w:hAnsi="Times New Roman"/>
                <w:sz w:val="16"/>
              </w:rPr>
              <w:t>TIFF (16-bit)</w:t>
            </w:r>
          </w:p>
        </w:tc>
        <w:tc>
          <w:tcPr>
            <w:tcW w:type="dxa" w:w="2088"/>
          </w:tcPr>
          <w:p>
            <w:pPr>
              <w:spacing w:before="20" w:after="20" w:line="240" w:lineRule="auto"/>
              <w:jc w:val="center"/>
            </w:pPr>
            <w:r>
              <w:rPr>
                <w:rFonts w:ascii="Times New Roman" w:hAnsi="Times New Roman"/>
                <w:sz w:val="16"/>
              </w:rPr>
              <w:t>CC0 1.0</w:t>
            </w:r>
          </w:p>
        </w:tc>
        <w:tc>
          <w:tcPr>
            <w:tcW w:type="dxa" w:w="2088"/>
          </w:tcPr>
          <w:p>
            <w:pPr>
              <w:spacing w:before="20" w:after="20" w:line="240" w:lineRule="auto"/>
              <w:jc w:val="center"/>
            </w:pPr>
            <w:r>
              <w:rPr>
                <w:rFonts w:ascii="Times New Roman" w:hAnsi="Times New Roman"/>
                <w:sz w:val="16"/>
              </w:rPr>
              <w:t>Metadata profiling</w:t>
            </w:r>
          </w:p>
        </w:tc>
      </w:tr>
      <w:tr>
        <w:tc>
          <w:tcPr>
            <w:tcW w:type="dxa" w:w="2088"/>
          </w:tcPr>
          <w:p>
            <w:pPr>
              <w:spacing w:before="20" w:after="20" w:line="240" w:lineRule="auto"/>
              <w:jc w:val="left"/>
            </w:pPr>
            <w:r>
              <w:rPr>
                <w:rFonts w:ascii="Times New Roman" w:hAnsi="Times New Roman"/>
                <w:sz w:val="16"/>
              </w:rPr>
              <w:t>Total active micrographs</w:t>
            </w:r>
          </w:p>
        </w:tc>
        <w:tc>
          <w:tcPr>
            <w:tcW w:type="dxa" w:w="2088"/>
          </w:tcPr>
          <w:p>
            <w:pPr>
              <w:spacing w:before="20" w:after="20" w:line="240" w:lineRule="auto"/>
              <w:jc w:val="center"/>
            </w:pPr>
            <w:r>
              <w:rPr>
                <w:rFonts w:ascii="Times New Roman" w:hAnsi="Times New Roman"/>
                <w:sz w:val="16"/>
              </w:rPr>
              <w:t>6,085</w:t>
            </w:r>
          </w:p>
        </w:tc>
        <w:tc>
          <w:tcPr>
            <w:tcW w:type="dxa" w:w="2088"/>
          </w:tcPr>
          <w:p>
            <w:pPr>
              <w:spacing w:before="20" w:after="20" w:line="240" w:lineRule="auto"/>
              <w:jc w:val="center"/>
            </w:pPr>
            <w:r>
              <w:rPr>
                <w:rFonts w:ascii="Times New Roman" w:hAnsi="Times New Roman"/>
                <w:sz w:val="16"/>
              </w:rPr>
              <w:t>Multi-format</w:t>
            </w:r>
          </w:p>
        </w:tc>
        <w:tc>
          <w:tcPr>
            <w:tcW w:type="dxa" w:w="2088"/>
          </w:tcPr>
          <w:p>
            <w:pPr>
              <w:spacing w:before="20" w:after="20" w:line="240" w:lineRule="auto"/>
              <w:jc w:val="center"/>
            </w:pPr>
            <w:r>
              <w:rPr>
                <w:rFonts w:ascii="Times New Roman" w:hAnsi="Times New Roman"/>
                <w:sz w:val="16"/>
              </w:rPr>
              <w:t>–</w:t>
            </w:r>
          </w:p>
        </w:tc>
        <w:tc>
          <w:tcPr>
            <w:tcW w:type="dxa" w:w="2088"/>
          </w:tcPr>
          <w:p>
            <w:pPr>
              <w:spacing w:before="20" w:after="20" w:line="240" w:lineRule="auto"/>
              <w:jc w:val="center"/>
            </w:pPr>
            <w:r>
              <w:rPr>
                <w:rFonts w:ascii="Times New Roman" w:hAnsi="Times New Roman"/>
                <w:sz w:val="16"/>
              </w:rPr>
              <w:t>Evaluated repository cohort</w:t>
            </w:r>
          </w:p>
        </w:tc>
      </w:tr>
      <w:tr>
        <w:tc>
          <w:tcPr>
            <w:tcW w:type="dxa" w:w="2088"/>
          </w:tcPr>
          <w:p>
            <w:pPr>
              <w:spacing w:before="20" w:after="20" w:line="240" w:lineRule="auto"/>
              <w:jc w:val="left"/>
            </w:pPr>
            <w:r>
              <w:rPr>
                <w:rFonts w:ascii="Times New Roman" w:hAnsi="Times New Roman"/>
                <w:sz w:val="16"/>
              </w:rPr>
              <w:t>HCCI Train</w:t>
            </w:r>
          </w:p>
        </w:tc>
        <w:tc>
          <w:tcPr>
            <w:tcW w:type="dxa" w:w="2088"/>
          </w:tcPr>
          <w:p>
            <w:pPr>
              <w:spacing w:before="20" w:after="20" w:line="240" w:lineRule="auto"/>
              <w:jc w:val="center"/>
            </w:pPr>
            <w:r>
              <w:rPr>
                <w:rFonts w:ascii="Times New Roman" w:hAnsi="Times New Roman"/>
                <w:sz w:val="16"/>
              </w:rPr>
              <w:t>427</w:t>
            </w:r>
          </w:p>
        </w:tc>
        <w:tc>
          <w:tcPr>
            <w:tcW w:type="dxa" w:w="2088"/>
          </w:tcPr>
          <w:p>
            <w:pPr>
              <w:spacing w:before="20" w:after="20" w:line="240" w:lineRule="auto"/>
              <w:jc w:val="center"/>
            </w:pPr>
            <w:r>
              <w:rPr>
                <w:rFonts w:ascii="Times New Roman" w:hAnsi="Times New Roman"/>
                <w:sz w:val="16"/>
              </w:rPr>
              <w:t>PNG</w:t>
            </w:r>
          </w:p>
        </w:tc>
        <w:tc>
          <w:tcPr>
            <w:tcW w:type="dxa" w:w="2088"/>
          </w:tcPr>
          <w:p>
            <w:pPr>
              <w:spacing w:before="20" w:after="20" w:line="240" w:lineRule="auto"/>
              <w:jc w:val="center"/>
            </w:pPr>
            <w:r>
              <w:rPr>
                <w:rFonts w:ascii="Times New Roman" w:hAnsi="Times New Roman"/>
                <w:sz w:val="16"/>
              </w:rPr>
              <w:t>CC BY 4.0</w:t>
            </w:r>
          </w:p>
        </w:tc>
        <w:tc>
          <w:tcPr>
            <w:tcW w:type="dxa" w:w="2088"/>
          </w:tcPr>
          <w:p>
            <w:pPr>
              <w:spacing w:before="20" w:after="20" w:line="240" w:lineRule="auto"/>
              <w:jc w:val="center"/>
            </w:pPr>
            <w:r>
              <w:rPr>
                <w:rFonts w:ascii="Times New Roman" w:hAnsi="Times New Roman"/>
                <w:sz w:val="16"/>
              </w:rPr>
              <w:t>Helios NanoLab, Helios G4 PFIB CXe</w:t>
            </w:r>
          </w:p>
        </w:tc>
      </w:tr>
      <w:tr>
        <w:tc>
          <w:tcPr>
            <w:tcW w:type="dxa" w:w="2088"/>
          </w:tcPr>
          <w:p>
            <w:pPr>
              <w:spacing w:before="20" w:after="20" w:line="240" w:lineRule="auto"/>
              <w:jc w:val="left"/>
            </w:pPr>
            <w:r>
              <w:rPr>
                <w:rFonts w:ascii="Times New Roman" w:hAnsi="Times New Roman"/>
                <w:sz w:val="16"/>
              </w:rPr>
              <w:t>HCCI Validation</w:t>
            </w:r>
          </w:p>
        </w:tc>
        <w:tc>
          <w:tcPr>
            <w:tcW w:type="dxa" w:w="2088"/>
          </w:tcPr>
          <w:p>
            <w:pPr>
              <w:spacing w:before="20" w:after="20" w:line="240" w:lineRule="auto"/>
              <w:jc w:val="center"/>
            </w:pPr>
            <w:r>
              <w:rPr>
                <w:rFonts w:ascii="Times New Roman" w:hAnsi="Times New Roman"/>
                <w:sz w:val="16"/>
              </w:rPr>
              <w:t>135</w:t>
            </w:r>
          </w:p>
        </w:tc>
        <w:tc>
          <w:tcPr>
            <w:tcW w:type="dxa" w:w="2088"/>
          </w:tcPr>
          <w:p>
            <w:pPr>
              <w:spacing w:before="20" w:after="20" w:line="240" w:lineRule="auto"/>
              <w:jc w:val="center"/>
            </w:pPr>
            <w:r>
              <w:rPr>
                <w:rFonts w:ascii="Times New Roman" w:hAnsi="Times New Roman"/>
                <w:sz w:val="16"/>
              </w:rPr>
              <w:t>PNG</w:t>
            </w:r>
          </w:p>
        </w:tc>
        <w:tc>
          <w:tcPr>
            <w:tcW w:type="dxa" w:w="2088"/>
          </w:tcPr>
          <w:p>
            <w:pPr>
              <w:spacing w:before="20" w:after="20" w:line="240" w:lineRule="auto"/>
              <w:jc w:val="center"/>
            </w:pPr>
            <w:r>
              <w:rPr>
                <w:rFonts w:ascii="Times New Roman" w:hAnsi="Times New Roman"/>
                <w:sz w:val="16"/>
              </w:rPr>
              <w:t>CC BY 4.0</w:t>
            </w:r>
          </w:p>
        </w:tc>
        <w:tc>
          <w:tcPr>
            <w:tcW w:type="dxa" w:w="2088"/>
          </w:tcPr>
          <w:p>
            <w:pPr>
              <w:spacing w:before="20" w:after="20" w:line="240" w:lineRule="auto"/>
              <w:jc w:val="center"/>
            </w:pPr>
            <w:r>
              <w:rPr>
                <w:rFonts w:ascii="Times New Roman" w:hAnsi="Times New Roman"/>
                <w:sz w:val="16"/>
              </w:rPr>
              <w:t>VEGA3 XMH</w:t>
            </w:r>
          </w:p>
        </w:tc>
      </w:tr>
      <w:tr>
        <w:tc>
          <w:tcPr>
            <w:tcW w:type="dxa" w:w="2088"/>
          </w:tcPr>
          <w:p>
            <w:pPr>
              <w:spacing w:before="20" w:after="20" w:line="240" w:lineRule="auto"/>
              <w:jc w:val="left"/>
            </w:pPr>
            <w:r>
              <w:rPr>
                <w:rFonts w:ascii="Times New Roman" w:hAnsi="Times New Roman"/>
                <w:sz w:val="16"/>
              </w:rPr>
              <w:t>HCCI Test (queries)</w:t>
            </w:r>
          </w:p>
        </w:tc>
        <w:tc>
          <w:tcPr>
            <w:tcW w:type="dxa" w:w="2088"/>
          </w:tcPr>
          <w:p>
            <w:pPr>
              <w:spacing w:before="20" w:after="20" w:line="240" w:lineRule="auto"/>
              <w:jc w:val="center"/>
            </w:pPr>
            <w:r>
              <w:rPr>
                <w:rFonts w:ascii="Times New Roman" w:hAnsi="Times New Roman"/>
                <w:sz w:val="16"/>
              </w:rPr>
              <w:t>212</w:t>
            </w:r>
          </w:p>
        </w:tc>
        <w:tc>
          <w:tcPr>
            <w:tcW w:type="dxa" w:w="2088"/>
          </w:tcPr>
          <w:p>
            <w:pPr>
              <w:spacing w:before="20" w:after="20" w:line="240" w:lineRule="auto"/>
              <w:jc w:val="center"/>
            </w:pPr>
            <w:r>
              <w:rPr>
                <w:rFonts w:ascii="Times New Roman" w:hAnsi="Times New Roman"/>
                <w:sz w:val="16"/>
              </w:rPr>
              <w:t>PNG</w:t>
            </w:r>
          </w:p>
        </w:tc>
        <w:tc>
          <w:tcPr>
            <w:tcW w:type="dxa" w:w="2088"/>
          </w:tcPr>
          <w:p>
            <w:pPr>
              <w:spacing w:before="20" w:after="20" w:line="240" w:lineRule="auto"/>
              <w:jc w:val="center"/>
            </w:pPr>
            <w:r>
              <w:rPr>
                <w:rFonts w:ascii="Times New Roman" w:hAnsi="Times New Roman"/>
                <w:sz w:val="16"/>
              </w:rPr>
              <w:t>CC BY 4.0</w:t>
            </w:r>
          </w:p>
        </w:tc>
        <w:tc>
          <w:tcPr>
            <w:tcW w:type="dxa" w:w="2088"/>
          </w:tcPr>
          <w:p>
            <w:pPr>
              <w:spacing w:before="20" w:after="20" w:line="240" w:lineRule="auto"/>
              <w:jc w:val="center"/>
            </w:pPr>
            <w:r>
              <w:rPr>
                <w:rFonts w:ascii="Times New Roman" w:hAnsi="Times New Roman"/>
                <w:sz w:val="16"/>
              </w:rPr>
              <w:t>Zeiss Gemini (211 candidates/query)</w:t>
            </w:r>
          </w:p>
        </w:tc>
      </w:tr>
    </w:tbl>
    <w:p>
      <w:pPr>
        <w:spacing w:before="0" w:after="40"/>
      </w:pPr>
    </w:p>
    <w:p>
      <w:pPr>
        <w:spacing w:after="80" w:before="0" w:line="252" w:lineRule="auto"/>
        <w:jc w:val="center"/>
      </w:pPr>
      <w:r>
        <w:rPr>
          <w:rFonts w:ascii="Times New Roman" w:hAnsi="Times New Roman"/>
          <w:b w:val="0"/>
          <w:i w:val="0"/>
          <w:sz w:val="16"/>
        </w:rPr>
        <w:t>TABLE I: Datasets and HCCI Instrument-Disjoint Partition (3 Shared Steel Specimens).</w:t>
      </w:r>
    </w:p>
    <w:p>
      <w:pPr>
        <w:spacing w:after="80" w:before="0" w:line="252" w:lineRule="auto"/>
        <w:jc w:val="both"/>
      </w:pPr>
      <w:r>
        <w:rPr>
          <w:rFonts w:ascii="Times New Roman" w:hAnsi="Times New Roman"/>
          <w:b w:val="0"/>
          <w:i w:val="0"/>
          <w:sz w:val="20"/>
        </w:rPr>
        <w:t>Protocol U (unmasked distractors). Each of the 212 test images queries the other 211. A candidate is relevant if it shows the same specimen, a different acquisition, and a pHash distance above 3. Same-acquisition peers remain as non-relevant distractors, so R@1 is deliberately hard. In Protocol M, same-acquisition peers are masked; the two protocols use different candidate pools and are not comparable, and we report Protocol U only because Protocol M lacks a matching raw result file. Quality benchmark: 250 HCCI parent images are degraded into 2,750 images (11 balanced synthetic categories; 100/50/100 parents for train/validation/test, no parent overlap); the test set has 1,100 images (100 normal, 1,000 risk). Localization uses 500 synthetic masks. Gap statistics are paired over 210 test queries (Wilcoxon signed-rank; paired dz). Code, frozen results, and the table and figure scripts are in the project repository.</w:t>
      </w:r>
    </w:p>
    <w:p>
      <w:pPr>
        <w:spacing w:before="160" w:after="60"/>
        <w:jc w:val="center"/>
      </w:pPr>
      <w:r>
        <w:rPr>
          <w:rFonts w:ascii="Times New Roman" w:hAnsi="Times New Roman"/>
          <w:b/>
          <w:sz w:val="20"/>
        </w:rPr>
        <w:t>V. RESULTS</w:t>
      </w:r>
    </w:p>
    <w:p>
      <w:pPr>
        <w:spacing w:before="100" w:after="40"/>
        <w:jc w:val="left"/>
      </w:pPr>
      <w:r>
        <w:rPr>
          <w:rFonts w:ascii="Times New Roman" w:hAnsi="Times New Roman"/>
          <w:i/>
          <w:sz w:val="19"/>
        </w:rPr>
        <w:t>A. Acquisition gap and retrieval</w:t>
      </w:r>
    </w:p>
    <w:p>
      <w:pPr>
        <w:spacing w:after="80" w:before="0" w:line="252" w:lineRule="auto"/>
        <w:jc w:val="both"/>
      </w:pPr>
      <w:r>
        <w:rPr>
          <w:rFonts w:ascii="Times New Roman" w:hAnsi="Times New Roman"/>
          <w:b w:val="0"/>
          <w:i w:val="0"/>
          <w:sz w:val="20"/>
        </w:rPr>
        <w:t>The adapter shrank the observed acquisition-geometry gap from 0.2016 (within 0.7811, cross 0.5794) to 0.0681 (within 0.9085, cross 0.8404), a reduction of 66.23% (95% CI 65.72–67.19; query-level 66.40%), with p = 5.03×10⁻³⁶ and dz = 2.19 over 210 queries; per-seed reductions were 60.76%, 70.35%, and 67.57% (Fig. 2a). The adapted space is more compressed overall, so this is a reduction of the gap under the evaluated protocol, not acquisition invariance.</w:t>
      </w:r>
    </w:p>
    <w:p>
      <w:pPr>
        <w:spacing w:after="80" w:before="0" w:line="252" w:lineRule="auto"/>
        <w:jc w:val="both"/>
      </w:pPr>
      <w:r>
        <w:rPr>
          <w:rFonts w:ascii="Times New Roman" w:hAnsi="Times New Roman"/>
          <w:b w:val="0"/>
          <w:i w:val="0"/>
          <w:sz w:val="20"/>
        </w:rPr>
        <w:t>Under Protocol U (Table II, Fig. 2b) the 3-seed adapter reaches R@1 0.1447, R@5 0.9921, and MRR 0.5261, versus 0.1321, 0.9858, and 0.5200 for frozen DINOv2. The 95% confidence intervals overlap, so only the gap reduction is statistically strong. With three specimen classes R@5 is near ceiling for all deep models, and pHash attains the highest P@5 (0.6736), partly because the relevance rule itself uses a pHash threshold.</w:t>
      </w:r>
    </w:p>
    <w:p>
      <w:r>
        <w:drawing>
          <wp:inline xmlns:a="http://schemas.openxmlformats.org/drawingml/2006/main" xmlns:pic="http://schemas.openxmlformats.org/drawingml/2006/picture">
            <wp:extent cx="4114800" cy="3578087"/>
            <wp:docPr id="2" name="Picture 2"/>
            <wp:cNvGraphicFramePr>
              <a:graphicFrameLocks noChangeAspect="1"/>
            </wp:cNvGraphicFramePr>
            <a:graphic>
              <a:graphicData uri="http://schemas.openxmlformats.org/drawingml/2006/picture">
                <pic:pic>
                  <pic:nvPicPr>
                    <pic:cNvPr id="0" name="fig2_gap_and_retrieval.png"/>
                    <pic:cNvPicPr/>
                  </pic:nvPicPr>
                  <pic:blipFill>
                    <a:blip r:embed="rId10"/>
                    <a:stretch>
                      <a:fillRect/>
                    </a:stretch>
                  </pic:blipFill>
                  <pic:spPr>
                    <a:xfrm>
                      <a:off x="0" y="0"/>
                      <a:ext cx="4114800" cy="3578087"/>
                    </a:xfrm>
                    <a:prstGeom prst="rect"/>
                  </pic:spPr>
                </pic:pic>
              </a:graphicData>
            </a:graphic>
          </wp:inline>
        </w:drawing>
      </w:r>
    </w:p>
    <w:p>
      <w:pPr>
        <w:spacing w:after="80" w:before="0" w:line="252" w:lineRule="auto"/>
        <w:jc w:val="center"/>
      </w:pPr>
      <w:r>
        <w:rPr>
          <w:rFonts w:ascii="Times New Roman" w:hAnsi="Times New Roman"/>
          <w:b w:val="0"/>
          <w:i w:val="0"/>
          <w:sz w:val="16"/>
        </w:rPr>
        <w:t>Fig. 2. (a) Within- and cross-acquisition cosine similarity (mean ± SD of pair similarities) for frozen DINOv2 and the 3-seed adapter mean; the observed gap shrinks from 0.2016 to 0.0681 over 210 paired test queries. (b) Recall@5 under Protocol U (212 queries, 211 candidates each).</w:t>
      </w:r>
    </w:p>
    <w:tbl>
      <w:tblPr>
        <w:tblW w:type="auto" w:w="0"/>
        <w:jc w:val="center"/>
        <w:tblLook w:firstColumn="1" w:firstRow="1" w:lastColumn="0" w:lastRow="0" w:noHBand="0" w:noVBand="1" w:val="04A0"/>
      </w:tblPr>
      <w:tblGrid>
        <w:gridCol w:w="2088"/>
        <w:gridCol w:w="2088"/>
        <w:gridCol w:w="2088"/>
        <w:gridCol w:w="2088"/>
        <w:gridCol w:w="2088"/>
      </w:tblGrid>
      <w:tr>
        <w:tc>
          <w:tcPr>
            <w:tcW w:type="dxa" w:w="2088"/>
            <w:shd w:fill="F1F5F9"/>
          </w:tcPr>
          <w:p>
            <w:pPr>
              <w:spacing w:before="20" w:after="20" w:line="240" w:lineRule="auto"/>
              <w:jc w:val="center"/>
            </w:pPr>
            <w:r>
              <w:rPr>
                <w:rFonts w:ascii="Times New Roman" w:hAnsi="Times New Roman"/>
                <w:b/>
                <w:sz w:val="16"/>
              </w:rPr>
              <w:t>Method</w:t>
            </w:r>
          </w:p>
        </w:tc>
        <w:tc>
          <w:tcPr>
            <w:tcW w:type="dxa" w:w="2088"/>
            <w:shd w:fill="F1F5F9"/>
          </w:tcPr>
          <w:p>
            <w:pPr>
              <w:spacing w:before="20" w:after="20" w:line="240" w:lineRule="auto"/>
              <w:jc w:val="center"/>
            </w:pPr>
            <w:r>
              <w:rPr>
                <w:rFonts w:ascii="Times New Roman" w:hAnsi="Times New Roman"/>
                <w:b/>
                <w:sz w:val="16"/>
              </w:rPr>
              <w:t>R@1</w:t>
            </w:r>
          </w:p>
        </w:tc>
        <w:tc>
          <w:tcPr>
            <w:tcW w:type="dxa" w:w="2088"/>
            <w:shd w:fill="F1F5F9"/>
          </w:tcPr>
          <w:p>
            <w:pPr>
              <w:spacing w:before="20" w:after="20" w:line="240" w:lineRule="auto"/>
              <w:jc w:val="center"/>
            </w:pPr>
            <w:r>
              <w:rPr>
                <w:rFonts w:ascii="Times New Roman" w:hAnsi="Times New Roman"/>
                <w:b/>
                <w:sz w:val="16"/>
              </w:rPr>
              <w:t>R@5</w:t>
            </w:r>
          </w:p>
        </w:tc>
        <w:tc>
          <w:tcPr>
            <w:tcW w:type="dxa" w:w="2088"/>
            <w:shd w:fill="F1F5F9"/>
          </w:tcPr>
          <w:p>
            <w:pPr>
              <w:spacing w:before="20" w:after="20" w:line="240" w:lineRule="auto"/>
              <w:jc w:val="center"/>
            </w:pPr>
            <w:r>
              <w:rPr>
                <w:rFonts w:ascii="Times New Roman" w:hAnsi="Times New Roman"/>
                <w:b/>
                <w:sz w:val="16"/>
              </w:rPr>
              <w:t>MRR</w:t>
            </w:r>
          </w:p>
        </w:tc>
        <w:tc>
          <w:tcPr>
            <w:tcW w:type="dxa" w:w="2088"/>
            <w:shd w:fill="F1F5F9"/>
          </w:tcPr>
          <w:p>
            <w:pPr>
              <w:spacing w:before="20" w:after="20" w:line="240" w:lineRule="auto"/>
              <w:jc w:val="center"/>
            </w:pPr>
            <w:r>
              <w:rPr>
                <w:rFonts w:ascii="Times New Roman" w:hAnsi="Times New Roman"/>
                <w:b/>
                <w:sz w:val="16"/>
              </w:rPr>
              <w:t>P@5</w:t>
            </w:r>
          </w:p>
        </w:tc>
      </w:tr>
      <w:tr>
        <w:tc>
          <w:tcPr>
            <w:tcW w:type="dxa" w:w="2088"/>
          </w:tcPr>
          <w:p>
            <w:pPr>
              <w:spacing w:before="20" w:after="20" w:line="240" w:lineRule="auto"/>
              <w:jc w:val="left"/>
            </w:pPr>
            <w:r>
              <w:rPr>
                <w:rFonts w:ascii="Times New Roman" w:hAnsi="Times New Roman"/>
                <w:sz w:val="16"/>
              </w:rPr>
              <w:t>pHash-64</w:t>
            </w:r>
          </w:p>
        </w:tc>
        <w:tc>
          <w:tcPr>
            <w:tcW w:type="dxa" w:w="2088"/>
          </w:tcPr>
          <w:p>
            <w:pPr>
              <w:spacing w:before="20" w:after="20" w:line="240" w:lineRule="auto"/>
              <w:jc w:val="center"/>
            </w:pPr>
            <w:r>
              <w:rPr>
                <w:rFonts w:ascii="Times New Roman" w:hAnsi="Times New Roman"/>
                <w:sz w:val="16"/>
              </w:rPr>
              <w:t>0.0991</w:t>
            </w:r>
          </w:p>
        </w:tc>
        <w:tc>
          <w:tcPr>
            <w:tcW w:type="dxa" w:w="2088"/>
          </w:tcPr>
          <w:p>
            <w:pPr>
              <w:spacing w:before="20" w:after="20" w:line="240" w:lineRule="auto"/>
              <w:jc w:val="center"/>
            </w:pPr>
            <w:r>
              <w:rPr>
                <w:rFonts w:ascii="Times New Roman" w:hAnsi="Times New Roman"/>
                <w:sz w:val="16"/>
              </w:rPr>
              <w:t>0.9717</w:t>
            </w:r>
          </w:p>
        </w:tc>
        <w:tc>
          <w:tcPr>
            <w:tcW w:type="dxa" w:w="2088"/>
          </w:tcPr>
          <w:p>
            <w:pPr>
              <w:spacing w:before="20" w:after="20" w:line="240" w:lineRule="auto"/>
              <w:jc w:val="center"/>
            </w:pPr>
            <w:r>
              <w:rPr>
                <w:rFonts w:ascii="Times New Roman" w:hAnsi="Times New Roman"/>
                <w:sz w:val="16"/>
              </w:rPr>
              <w:t>0.4894</w:t>
            </w:r>
          </w:p>
        </w:tc>
        <w:tc>
          <w:tcPr>
            <w:tcW w:type="dxa" w:w="2088"/>
          </w:tcPr>
          <w:p>
            <w:pPr>
              <w:spacing w:before="20" w:after="20" w:line="240" w:lineRule="auto"/>
              <w:jc w:val="center"/>
            </w:pPr>
            <w:r>
              <w:rPr>
                <w:rFonts w:ascii="Times New Roman" w:hAnsi="Times New Roman"/>
                <w:sz w:val="16"/>
              </w:rPr>
              <w:t>0.6736</w:t>
            </w:r>
          </w:p>
        </w:tc>
      </w:tr>
      <w:tr>
        <w:tc>
          <w:tcPr>
            <w:tcW w:type="dxa" w:w="2088"/>
          </w:tcPr>
          <w:p>
            <w:pPr>
              <w:spacing w:before="20" w:after="20" w:line="240" w:lineRule="auto"/>
              <w:jc w:val="left"/>
            </w:pPr>
            <w:r>
              <w:rPr>
                <w:rFonts w:ascii="Times New Roman" w:hAnsi="Times New Roman"/>
                <w:sz w:val="16"/>
              </w:rPr>
              <w:t>dHash-64</w:t>
            </w:r>
          </w:p>
        </w:tc>
        <w:tc>
          <w:tcPr>
            <w:tcW w:type="dxa" w:w="2088"/>
          </w:tcPr>
          <w:p>
            <w:pPr>
              <w:spacing w:before="20" w:after="20" w:line="240" w:lineRule="auto"/>
              <w:jc w:val="center"/>
            </w:pPr>
            <w:r>
              <w:rPr>
                <w:rFonts w:ascii="Times New Roman" w:hAnsi="Times New Roman"/>
                <w:sz w:val="16"/>
              </w:rPr>
              <w:t>0.1085</w:t>
            </w:r>
          </w:p>
        </w:tc>
        <w:tc>
          <w:tcPr>
            <w:tcW w:type="dxa" w:w="2088"/>
          </w:tcPr>
          <w:p>
            <w:pPr>
              <w:spacing w:before="20" w:after="20" w:line="240" w:lineRule="auto"/>
              <w:jc w:val="center"/>
            </w:pPr>
            <w:r>
              <w:rPr>
                <w:rFonts w:ascii="Times New Roman" w:hAnsi="Times New Roman"/>
                <w:sz w:val="16"/>
              </w:rPr>
              <w:t>0.9481</w:t>
            </w:r>
          </w:p>
        </w:tc>
        <w:tc>
          <w:tcPr>
            <w:tcW w:type="dxa" w:w="2088"/>
          </w:tcPr>
          <w:p>
            <w:pPr>
              <w:spacing w:before="20" w:after="20" w:line="240" w:lineRule="auto"/>
              <w:jc w:val="center"/>
            </w:pPr>
            <w:r>
              <w:rPr>
                <w:rFonts w:ascii="Times New Roman" w:hAnsi="Times New Roman"/>
                <w:sz w:val="16"/>
              </w:rPr>
              <w:t>0.4995</w:t>
            </w:r>
          </w:p>
        </w:tc>
        <w:tc>
          <w:tcPr>
            <w:tcW w:type="dxa" w:w="2088"/>
          </w:tcPr>
          <w:p>
            <w:pPr>
              <w:spacing w:before="20" w:after="20" w:line="240" w:lineRule="auto"/>
              <w:jc w:val="center"/>
            </w:pPr>
            <w:r>
              <w:rPr>
                <w:rFonts w:ascii="Times New Roman" w:hAnsi="Times New Roman"/>
                <w:sz w:val="16"/>
              </w:rPr>
              <w:t>0.6236</w:t>
            </w:r>
          </w:p>
        </w:tc>
      </w:tr>
      <w:tr>
        <w:tc>
          <w:tcPr>
            <w:tcW w:type="dxa" w:w="2088"/>
          </w:tcPr>
          <w:p>
            <w:pPr>
              <w:spacing w:before="20" w:after="20" w:line="240" w:lineRule="auto"/>
              <w:jc w:val="left"/>
            </w:pPr>
            <w:r>
              <w:rPr>
                <w:rFonts w:ascii="Times New Roman" w:hAnsi="Times New Roman"/>
                <w:sz w:val="16"/>
              </w:rPr>
              <w:t>ResNet-50</w:t>
            </w:r>
          </w:p>
        </w:tc>
        <w:tc>
          <w:tcPr>
            <w:tcW w:type="dxa" w:w="2088"/>
          </w:tcPr>
          <w:p>
            <w:pPr>
              <w:spacing w:before="20" w:after="20" w:line="240" w:lineRule="auto"/>
              <w:jc w:val="center"/>
            </w:pPr>
            <w:r>
              <w:rPr>
                <w:rFonts w:ascii="Times New Roman" w:hAnsi="Times New Roman"/>
                <w:sz w:val="16"/>
              </w:rPr>
              <w:t>0.0802</w:t>
            </w:r>
          </w:p>
        </w:tc>
        <w:tc>
          <w:tcPr>
            <w:tcW w:type="dxa" w:w="2088"/>
          </w:tcPr>
          <w:p>
            <w:pPr>
              <w:spacing w:before="20" w:after="20" w:line="240" w:lineRule="auto"/>
              <w:jc w:val="center"/>
            </w:pPr>
            <w:r>
              <w:rPr>
                <w:rFonts w:ascii="Times New Roman" w:hAnsi="Times New Roman"/>
                <w:sz w:val="16"/>
              </w:rPr>
              <w:t>0.9811</w:t>
            </w:r>
          </w:p>
        </w:tc>
        <w:tc>
          <w:tcPr>
            <w:tcW w:type="dxa" w:w="2088"/>
          </w:tcPr>
          <w:p>
            <w:pPr>
              <w:spacing w:before="20" w:after="20" w:line="240" w:lineRule="auto"/>
              <w:jc w:val="center"/>
            </w:pPr>
            <w:r>
              <w:rPr>
                <w:rFonts w:ascii="Times New Roman" w:hAnsi="Times New Roman"/>
                <w:sz w:val="16"/>
              </w:rPr>
              <w:t>0.4836</w:t>
            </w:r>
          </w:p>
        </w:tc>
        <w:tc>
          <w:tcPr>
            <w:tcW w:type="dxa" w:w="2088"/>
          </w:tcPr>
          <w:p>
            <w:pPr>
              <w:spacing w:before="20" w:after="20" w:line="240" w:lineRule="auto"/>
              <w:jc w:val="center"/>
            </w:pPr>
            <w:r>
              <w:rPr>
                <w:rFonts w:ascii="Times New Roman" w:hAnsi="Times New Roman"/>
                <w:sz w:val="16"/>
              </w:rPr>
              <w:t>0.5726</w:t>
            </w:r>
          </w:p>
        </w:tc>
      </w:tr>
      <w:tr>
        <w:tc>
          <w:tcPr>
            <w:tcW w:type="dxa" w:w="2088"/>
          </w:tcPr>
          <w:p>
            <w:pPr>
              <w:spacing w:before="20" w:after="20" w:line="240" w:lineRule="auto"/>
              <w:jc w:val="left"/>
            </w:pPr>
            <w:r>
              <w:rPr>
                <w:rFonts w:ascii="Times New Roman" w:hAnsi="Times New Roman"/>
                <w:sz w:val="16"/>
              </w:rPr>
              <w:t>DINOv2 ViT-S/14</w:t>
            </w:r>
          </w:p>
        </w:tc>
        <w:tc>
          <w:tcPr>
            <w:tcW w:type="dxa" w:w="2088"/>
          </w:tcPr>
          <w:p>
            <w:pPr>
              <w:spacing w:before="20" w:after="20" w:line="240" w:lineRule="auto"/>
              <w:jc w:val="center"/>
            </w:pPr>
            <w:r>
              <w:rPr>
                <w:rFonts w:ascii="Times New Roman" w:hAnsi="Times New Roman"/>
                <w:sz w:val="16"/>
              </w:rPr>
              <w:t>0.1321</w:t>
            </w:r>
          </w:p>
        </w:tc>
        <w:tc>
          <w:tcPr>
            <w:tcW w:type="dxa" w:w="2088"/>
          </w:tcPr>
          <w:p>
            <w:pPr>
              <w:spacing w:before="20" w:after="20" w:line="240" w:lineRule="auto"/>
              <w:jc w:val="center"/>
            </w:pPr>
            <w:r>
              <w:rPr>
                <w:rFonts w:ascii="Times New Roman" w:hAnsi="Times New Roman"/>
                <w:sz w:val="16"/>
              </w:rPr>
              <w:t>0.9858</w:t>
            </w:r>
          </w:p>
        </w:tc>
        <w:tc>
          <w:tcPr>
            <w:tcW w:type="dxa" w:w="2088"/>
          </w:tcPr>
          <w:p>
            <w:pPr>
              <w:spacing w:before="20" w:after="20" w:line="240" w:lineRule="auto"/>
              <w:jc w:val="center"/>
            </w:pPr>
            <w:r>
              <w:rPr>
                <w:rFonts w:ascii="Times New Roman" w:hAnsi="Times New Roman"/>
                <w:sz w:val="16"/>
              </w:rPr>
              <w:t>0.5200</w:t>
            </w:r>
          </w:p>
        </w:tc>
        <w:tc>
          <w:tcPr>
            <w:tcW w:type="dxa" w:w="2088"/>
          </w:tcPr>
          <w:p>
            <w:pPr>
              <w:spacing w:before="20" w:after="20" w:line="240" w:lineRule="auto"/>
              <w:jc w:val="center"/>
            </w:pPr>
            <w:r>
              <w:rPr>
                <w:rFonts w:ascii="Times New Roman" w:hAnsi="Times New Roman"/>
                <w:sz w:val="16"/>
              </w:rPr>
              <w:t>0.6160</w:t>
            </w:r>
          </w:p>
        </w:tc>
      </w:tr>
      <w:tr>
        <w:tc>
          <w:tcPr>
            <w:tcW w:type="dxa" w:w="2088"/>
          </w:tcPr>
          <w:p>
            <w:pPr>
              <w:spacing w:before="20" w:after="20" w:line="240" w:lineRule="auto"/>
              <w:jc w:val="left"/>
            </w:pPr>
            <w:r>
              <w:rPr>
                <w:rFonts w:ascii="Times New Roman" w:hAnsi="Times New Roman"/>
                <w:sz w:val="16"/>
              </w:rPr>
              <w:t>Adapter, 3-seed mean</w:t>
            </w:r>
          </w:p>
        </w:tc>
        <w:tc>
          <w:tcPr>
            <w:tcW w:type="dxa" w:w="2088"/>
          </w:tcPr>
          <w:p>
            <w:pPr>
              <w:spacing w:before="20" w:after="20" w:line="240" w:lineRule="auto"/>
              <w:jc w:val="center"/>
            </w:pPr>
            <w:r>
              <w:rPr>
                <w:rFonts w:ascii="Times New Roman" w:hAnsi="Times New Roman"/>
                <w:sz w:val="16"/>
              </w:rPr>
              <w:t>0.1447</w:t>
            </w:r>
          </w:p>
        </w:tc>
        <w:tc>
          <w:tcPr>
            <w:tcW w:type="dxa" w:w="2088"/>
          </w:tcPr>
          <w:p>
            <w:pPr>
              <w:spacing w:before="20" w:after="20" w:line="240" w:lineRule="auto"/>
              <w:jc w:val="center"/>
            </w:pPr>
            <w:r>
              <w:rPr>
                <w:rFonts w:ascii="Times New Roman" w:hAnsi="Times New Roman"/>
                <w:sz w:val="16"/>
              </w:rPr>
              <w:t>0.9921</w:t>
            </w:r>
          </w:p>
        </w:tc>
        <w:tc>
          <w:tcPr>
            <w:tcW w:type="dxa" w:w="2088"/>
          </w:tcPr>
          <w:p>
            <w:pPr>
              <w:spacing w:before="20" w:after="20" w:line="240" w:lineRule="auto"/>
              <w:jc w:val="center"/>
            </w:pPr>
            <w:r>
              <w:rPr>
                <w:rFonts w:ascii="Times New Roman" w:hAnsi="Times New Roman"/>
                <w:sz w:val="16"/>
              </w:rPr>
              <w:t>0.5261</w:t>
            </w:r>
          </w:p>
        </w:tc>
        <w:tc>
          <w:tcPr>
            <w:tcW w:type="dxa" w:w="2088"/>
          </w:tcPr>
          <w:p>
            <w:pPr>
              <w:spacing w:before="20" w:after="20" w:line="240" w:lineRule="auto"/>
              <w:jc w:val="center"/>
            </w:pPr>
            <w:r>
              <w:rPr>
                <w:rFonts w:ascii="Times New Roman" w:hAnsi="Times New Roman"/>
                <w:sz w:val="16"/>
              </w:rPr>
              <w:t>0.6327</w:t>
            </w:r>
          </w:p>
        </w:tc>
      </w:tr>
    </w:tbl>
    <w:p>
      <w:pPr>
        <w:spacing w:before="0" w:after="40"/>
      </w:pPr>
    </w:p>
    <w:p>
      <w:pPr>
        <w:spacing w:after="80" w:before="0" w:line="252" w:lineRule="auto"/>
        <w:jc w:val="center"/>
      </w:pPr>
      <w:r>
        <w:rPr>
          <w:rFonts w:ascii="Times New Roman" w:hAnsi="Times New Roman"/>
          <w:b w:val="0"/>
          <w:i w:val="0"/>
          <w:sz w:val="16"/>
        </w:rPr>
        <w:t>TABLE II: Protocol U Retrieval Benchmarks (212 Queries, 211 Candidates Each).</w:t>
      </w:r>
    </w:p>
    <w:p>
      <w:pPr>
        <w:spacing w:before="100" w:after="40"/>
        <w:jc w:val="left"/>
      </w:pPr>
      <w:r>
        <w:rPr>
          <w:rFonts w:ascii="Times New Roman" w:hAnsi="Times New Roman"/>
          <w:i/>
          <w:sz w:val="19"/>
        </w:rPr>
        <w:t>B. Quality screening and trade-off</w:t>
      </w:r>
    </w:p>
    <w:p>
      <w:pPr>
        <w:spacing w:after="80" w:before="0" w:line="252" w:lineRule="auto"/>
        <w:jc w:val="both"/>
      </w:pPr>
      <w:r>
        <w:rPr>
          <w:rFonts w:ascii="Times New Roman" w:hAnsi="Times New Roman"/>
          <w:b w:val="0"/>
          <w:i w:val="0"/>
          <w:sz w:val="20"/>
        </w:rPr>
        <w:t>Threshold-free binary risk metrics (Table III) are AUROC/AUPRC 0.8281/0.9808 (handcrafted), 0.8582/0.9841 (frozen DINOv2), and 0.8230/0.9792 (adapted); the stored threshold-dependent binary table is internally inconsistent, so it is not reported. On the balanced 11-class task, macro-F1 equals weighted F1 and falls from 0.6837 (balanced accuracy 0.7036) to 0.6323 (0.6645) after adaptation. Adaptation therefore trades artifact sensitivity for retrieval, which motivates the two branches.</w:t>
      </w:r>
    </w:p>
    <w:tbl>
      <w:tblPr>
        <w:tblW w:type="auto" w:w="0"/>
        <w:jc w:val="center"/>
        <w:tblLook w:firstColumn="1" w:firstRow="1" w:lastColumn="0" w:lastRow="0" w:noHBand="0" w:noVBand="1" w:val="04A0"/>
      </w:tblPr>
      <w:tblGrid>
        <w:gridCol w:w="2610"/>
        <w:gridCol w:w="2610"/>
        <w:gridCol w:w="2610"/>
        <w:gridCol w:w="2610"/>
      </w:tblGrid>
      <w:tr>
        <w:tc>
          <w:tcPr>
            <w:tcW w:type="dxa" w:w="2610"/>
            <w:shd w:fill="F1F5F9"/>
          </w:tcPr>
          <w:p>
            <w:pPr>
              <w:spacing w:before="20" w:after="20" w:line="240" w:lineRule="auto"/>
              <w:jc w:val="center"/>
            </w:pPr>
            <w:r>
              <w:rPr>
                <w:rFonts w:ascii="Times New Roman" w:hAnsi="Times New Roman"/>
                <w:b/>
                <w:sz w:val="16"/>
              </w:rPr>
              <w:t>Metric</w:t>
            </w:r>
          </w:p>
        </w:tc>
        <w:tc>
          <w:tcPr>
            <w:tcW w:type="dxa" w:w="2610"/>
            <w:shd w:fill="F1F5F9"/>
          </w:tcPr>
          <w:p>
            <w:pPr>
              <w:spacing w:before="20" w:after="20" w:line="240" w:lineRule="auto"/>
              <w:jc w:val="center"/>
            </w:pPr>
            <w:r>
              <w:rPr>
                <w:rFonts w:ascii="Times New Roman" w:hAnsi="Times New Roman"/>
                <w:b/>
                <w:sz w:val="16"/>
              </w:rPr>
              <w:t>Handcrafted</w:t>
            </w:r>
          </w:p>
        </w:tc>
        <w:tc>
          <w:tcPr>
            <w:tcW w:type="dxa" w:w="2610"/>
            <w:shd w:fill="F1F5F9"/>
          </w:tcPr>
          <w:p>
            <w:pPr>
              <w:spacing w:before="20" w:after="20" w:line="240" w:lineRule="auto"/>
              <w:jc w:val="center"/>
            </w:pPr>
            <w:r>
              <w:rPr>
                <w:rFonts w:ascii="Times New Roman" w:hAnsi="Times New Roman"/>
                <w:b/>
                <w:sz w:val="16"/>
              </w:rPr>
              <w:t>Frozen DINOv2</w:t>
            </w:r>
          </w:p>
        </w:tc>
        <w:tc>
          <w:tcPr>
            <w:tcW w:type="dxa" w:w="2610"/>
            <w:shd w:fill="F1F5F9"/>
          </w:tcPr>
          <w:p>
            <w:pPr>
              <w:spacing w:before="20" w:after="20" w:line="240" w:lineRule="auto"/>
              <w:jc w:val="center"/>
            </w:pPr>
            <w:r>
              <w:rPr>
                <w:rFonts w:ascii="Times New Roman" w:hAnsi="Times New Roman"/>
                <w:b/>
                <w:sz w:val="16"/>
              </w:rPr>
              <w:t>Adapted (3-seed)</w:t>
            </w:r>
          </w:p>
        </w:tc>
      </w:tr>
      <w:tr>
        <w:tc>
          <w:tcPr>
            <w:tcW w:type="dxa" w:w="2610"/>
          </w:tcPr>
          <w:p>
            <w:pPr>
              <w:spacing w:before="20" w:after="20" w:line="240" w:lineRule="auto"/>
              <w:jc w:val="left"/>
            </w:pPr>
            <w:r>
              <w:rPr>
                <w:rFonts w:ascii="Times New Roman" w:hAnsi="Times New Roman"/>
                <w:sz w:val="16"/>
              </w:rPr>
              <w:t>Retrieval R@5 (Protocol U)</w:t>
            </w:r>
          </w:p>
        </w:tc>
        <w:tc>
          <w:tcPr>
            <w:tcW w:type="dxa" w:w="2610"/>
          </w:tcPr>
          <w:p>
            <w:pPr>
              <w:spacing w:before="20" w:after="20" w:line="240" w:lineRule="auto"/>
              <w:jc w:val="center"/>
            </w:pPr>
            <w:r>
              <w:rPr>
                <w:rFonts w:ascii="Times New Roman" w:hAnsi="Times New Roman"/>
                <w:sz w:val="16"/>
              </w:rPr>
              <w:t>—</w:t>
            </w:r>
          </w:p>
        </w:tc>
        <w:tc>
          <w:tcPr>
            <w:tcW w:type="dxa" w:w="2610"/>
          </w:tcPr>
          <w:p>
            <w:pPr>
              <w:spacing w:before="20" w:after="20" w:line="240" w:lineRule="auto"/>
              <w:jc w:val="center"/>
            </w:pPr>
            <w:r>
              <w:rPr>
                <w:rFonts w:ascii="Times New Roman" w:hAnsi="Times New Roman"/>
                <w:sz w:val="16"/>
              </w:rPr>
              <w:t>0.9858</w:t>
            </w:r>
          </w:p>
        </w:tc>
        <w:tc>
          <w:tcPr>
            <w:tcW w:type="dxa" w:w="2610"/>
          </w:tcPr>
          <w:p>
            <w:pPr>
              <w:spacing w:before="20" w:after="20" w:line="240" w:lineRule="auto"/>
              <w:jc w:val="center"/>
            </w:pPr>
            <w:r>
              <w:rPr>
                <w:rFonts w:ascii="Times New Roman" w:hAnsi="Times New Roman"/>
                <w:sz w:val="16"/>
              </w:rPr>
              <w:t>0.9921</w:t>
            </w:r>
          </w:p>
        </w:tc>
      </w:tr>
      <w:tr>
        <w:tc>
          <w:tcPr>
            <w:tcW w:type="dxa" w:w="2610"/>
          </w:tcPr>
          <w:p>
            <w:pPr>
              <w:spacing w:before="20" w:after="20" w:line="240" w:lineRule="auto"/>
              <w:jc w:val="left"/>
            </w:pPr>
            <w:r>
              <w:rPr>
                <w:rFonts w:ascii="Times New Roman" w:hAnsi="Times New Roman"/>
                <w:sz w:val="16"/>
              </w:rPr>
              <w:t>Retrieval MRR (Protocol U)</w:t>
            </w:r>
          </w:p>
        </w:tc>
        <w:tc>
          <w:tcPr>
            <w:tcW w:type="dxa" w:w="2610"/>
          </w:tcPr>
          <w:p>
            <w:pPr>
              <w:spacing w:before="20" w:after="20" w:line="240" w:lineRule="auto"/>
              <w:jc w:val="center"/>
            </w:pPr>
            <w:r>
              <w:rPr>
                <w:rFonts w:ascii="Times New Roman" w:hAnsi="Times New Roman"/>
                <w:sz w:val="16"/>
              </w:rPr>
              <w:t>—</w:t>
            </w:r>
          </w:p>
        </w:tc>
        <w:tc>
          <w:tcPr>
            <w:tcW w:type="dxa" w:w="2610"/>
          </w:tcPr>
          <w:p>
            <w:pPr>
              <w:spacing w:before="20" w:after="20" w:line="240" w:lineRule="auto"/>
              <w:jc w:val="center"/>
            </w:pPr>
            <w:r>
              <w:rPr>
                <w:rFonts w:ascii="Times New Roman" w:hAnsi="Times New Roman"/>
                <w:sz w:val="16"/>
              </w:rPr>
              <w:t>0.5200</w:t>
            </w:r>
          </w:p>
        </w:tc>
        <w:tc>
          <w:tcPr>
            <w:tcW w:type="dxa" w:w="2610"/>
          </w:tcPr>
          <w:p>
            <w:pPr>
              <w:spacing w:before="20" w:after="20" w:line="240" w:lineRule="auto"/>
              <w:jc w:val="center"/>
            </w:pPr>
            <w:r>
              <w:rPr>
                <w:rFonts w:ascii="Times New Roman" w:hAnsi="Times New Roman"/>
                <w:sz w:val="16"/>
              </w:rPr>
              <w:t>0.5261</w:t>
            </w:r>
          </w:p>
        </w:tc>
      </w:tr>
      <w:tr>
        <w:tc>
          <w:tcPr>
            <w:tcW w:type="dxa" w:w="2610"/>
          </w:tcPr>
          <w:p>
            <w:pPr>
              <w:spacing w:before="20" w:after="20" w:line="240" w:lineRule="auto"/>
              <w:jc w:val="left"/>
            </w:pPr>
            <w:r>
              <w:rPr>
                <w:rFonts w:ascii="Times New Roman" w:hAnsi="Times New Roman"/>
                <w:sz w:val="16"/>
              </w:rPr>
              <w:t>Acquisition gap Δ (lower better)</w:t>
            </w:r>
          </w:p>
        </w:tc>
        <w:tc>
          <w:tcPr>
            <w:tcW w:type="dxa" w:w="2610"/>
          </w:tcPr>
          <w:p>
            <w:pPr>
              <w:spacing w:before="20" w:after="20" w:line="240" w:lineRule="auto"/>
              <w:jc w:val="center"/>
            </w:pPr>
            <w:r>
              <w:rPr>
                <w:rFonts w:ascii="Times New Roman" w:hAnsi="Times New Roman"/>
                <w:sz w:val="16"/>
              </w:rPr>
              <w:t>—</w:t>
            </w:r>
          </w:p>
        </w:tc>
        <w:tc>
          <w:tcPr>
            <w:tcW w:type="dxa" w:w="2610"/>
          </w:tcPr>
          <w:p>
            <w:pPr>
              <w:spacing w:before="20" w:after="20" w:line="240" w:lineRule="auto"/>
              <w:jc w:val="center"/>
            </w:pPr>
            <w:r>
              <w:rPr>
                <w:rFonts w:ascii="Times New Roman" w:hAnsi="Times New Roman"/>
                <w:sz w:val="16"/>
              </w:rPr>
              <w:t>0.2016</w:t>
            </w:r>
          </w:p>
        </w:tc>
        <w:tc>
          <w:tcPr>
            <w:tcW w:type="dxa" w:w="2610"/>
          </w:tcPr>
          <w:p>
            <w:pPr>
              <w:spacing w:before="20" w:after="20" w:line="240" w:lineRule="auto"/>
              <w:jc w:val="center"/>
            </w:pPr>
            <w:r>
              <w:rPr>
                <w:rFonts w:ascii="Times New Roman" w:hAnsi="Times New Roman"/>
                <w:sz w:val="16"/>
              </w:rPr>
              <w:t>0.0681</w:t>
            </w:r>
          </w:p>
        </w:tc>
      </w:tr>
      <w:tr>
        <w:tc>
          <w:tcPr>
            <w:tcW w:type="dxa" w:w="2610"/>
          </w:tcPr>
          <w:p>
            <w:pPr>
              <w:spacing w:before="20" w:after="20" w:line="240" w:lineRule="auto"/>
              <w:jc w:val="left"/>
            </w:pPr>
            <w:r>
              <w:rPr>
                <w:rFonts w:ascii="Times New Roman" w:hAnsi="Times New Roman"/>
                <w:sz w:val="16"/>
              </w:rPr>
              <w:t>Risk AUROC (binary)</w:t>
            </w:r>
          </w:p>
        </w:tc>
        <w:tc>
          <w:tcPr>
            <w:tcW w:type="dxa" w:w="2610"/>
          </w:tcPr>
          <w:p>
            <w:pPr>
              <w:spacing w:before="20" w:after="20" w:line="240" w:lineRule="auto"/>
              <w:jc w:val="center"/>
            </w:pPr>
            <w:r>
              <w:rPr>
                <w:rFonts w:ascii="Times New Roman" w:hAnsi="Times New Roman"/>
                <w:sz w:val="16"/>
              </w:rPr>
              <w:t>0.8281</w:t>
            </w:r>
          </w:p>
        </w:tc>
        <w:tc>
          <w:tcPr>
            <w:tcW w:type="dxa" w:w="2610"/>
          </w:tcPr>
          <w:p>
            <w:pPr>
              <w:spacing w:before="20" w:after="20" w:line="240" w:lineRule="auto"/>
              <w:jc w:val="center"/>
            </w:pPr>
            <w:r>
              <w:rPr>
                <w:rFonts w:ascii="Times New Roman" w:hAnsi="Times New Roman"/>
                <w:sz w:val="16"/>
              </w:rPr>
              <w:t>0.8582</w:t>
            </w:r>
          </w:p>
        </w:tc>
        <w:tc>
          <w:tcPr>
            <w:tcW w:type="dxa" w:w="2610"/>
          </w:tcPr>
          <w:p>
            <w:pPr>
              <w:spacing w:before="20" w:after="20" w:line="240" w:lineRule="auto"/>
              <w:jc w:val="center"/>
            </w:pPr>
            <w:r>
              <w:rPr>
                <w:rFonts w:ascii="Times New Roman" w:hAnsi="Times New Roman"/>
                <w:sz w:val="16"/>
              </w:rPr>
              <w:t>0.8230</w:t>
            </w:r>
          </w:p>
        </w:tc>
      </w:tr>
      <w:tr>
        <w:tc>
          <w:tcPr>
            <w:tcW w:type="dxa" w:w="2610"/>
          </w:tcPr>
          <w:p>
            <w:pPr>
              <w:spacing w:before="20" w:after="20" w:line="240" w:lineRule="auto"/>
              <w:jc w:val="left"/>
            </w:pPr>
            <w:r>
              <w:rPr>
                <w:rFonts w:ascii="Times New Roman" w:hAnsi="Times New Roman"/>
                <w:sz w:val="16"/>
              </w:rPr>
              <w:t>Risk AUPRC (binary)</w:t>
            </w:r>
          </w:p>
        </w:tc>
        <w:tc>
          <w:tcPr>
            <w:tcW w:type="dxa" w:w="2610"/>
          </w:tcPr>
          <w:p>
            <w:pPr>
              <w:spacing w:before="20" w:after="20" w:line="240" w:lineRule="auto"/>
              <w:jc w:val="center"/>
            </w:pPr>
            <w:r>
              <w:rPr>
                <w:rFonts w:ascii="Times New Roman" w:hAnsi="Times New Roman"/>
                <w:sz w:val="16"/>
              </w:rPr>
              <w:t>0.9808</w:t>
            </w:r>
          </w:p>
        </w:tc>
        <w:tc>
          <w:tcPr>
            <w:tcW w:type="dxa" w:w="2610"/>
          </w:tcPr>
          <w:p>
            <w:pPr>
              <w:spacing w:before="20" w:after="20" w:line="240" w:lineRule="auto"/>
              <w:jc w:val="center"/>
            </w:pPr>
            <w:r>
              <w:rPr>
                <w:rFonts w:ascii="Times New Roman" w:hAnsi="Times New Roman"/>
                <w:sz w:val="16"/>
              </w:rPr>
              <w:t>0.9841</w:t>
            </w:r>
          </w:p>
        </w:tc>
        <w:tc>
          <w:tcPr>
            <w:tcW w:type="dxa" w:w="2610"/>
          </w:tcPr>
          <w:p>
            <w:pPr>
              <w:spacing w:before="20" w:after="20" w:line="240" w:lineRule="auto"/>
              <w:jc w:val="center"/>
            </w:pPr>
            <w:r>
              <w:rPr>
                <w:rFonts w:ascii="Times New Roman" w:hAnsi="Times New Roman"/>
                <w:sz w:val="16"/>
              </w:rPr>
              <w:t>0.9792</w:t>
            </w:r>
          </w:p>
        </w:tc>
      </w:tr>
      <w:tr>
        <w:tc>
          <w:tcPr>
            <w:tcW w:type="dxa" w:w="2610"/>
          </w:tcPr>
          <w:p>
            <w:pPr>
              <w:spacing w:before="20" w:after="20" w:line="240" w:lineRule="auto"/>
              <w:jc w:val="left"/>
            </w:pPr>
            <w:r>
              <w:rPr>
                <w:rFonts w:ascii="Times New Roman" w:hAnsi="Times New Roman"/>
                <w:sz w:val="16"/>
              </w:rPr>
              <w:t>11-class macro-F1</w:t>
            </w:r>
          </w:p>
        </w:tc>
        <w:tc>
          <w:tcPr>
            <w:tcW w:type="dxa" w:w="2610"/>
          </w:tcPr>
          <w:p>
            <w:pPr>
              <w:spacing w:before="20" w:after="20" w:line="240" w:lineRule="auto"/>
              <w:jc w:val="center"/>
            </w:pPr>
            <w:r>
              <w:rPr>
                <w:rFonts w:ascii="Times New Roman" w:hAnsi="Times New Roman"/>
                <w:sz w:val="16"/>
              </w:rPr>
              <w:t>—</w:t>
            </w:r>
          </w:p>
        </w:tc>
        <w:tc>
          <w:tcPr>
            <w:tcW w:type="dxa" w:w="2610"/>
          </w:tcPr>
          <w:p>
            <w:pPr>
              <w:spacing w:before="20" w:after="20" w:line="240" w:lineRule="auto"/>
              <w:jc w:val="center"/>
            </w:pPr>
            <w:r>
              <w:rPr>
                <w:rFonts w:ascii="Times New Roman" w:hAnsi="Times New Roman"/>
                <w:sz w:val="16"/>
              </w:rPr>
              <w:t>0.6837</w:t>
            </w:r>
          </w:p>
        </w:tc>
        <w:tc>
          <w:tcPr>
            <w:tcW w:type="dxa" w:w="2610"/>
          </w:tcPr>
          <w:p>
            <w:pPr>
              <w:spacing w:before="20" w:after="20" w:line="240" w:lineRule="auto"/>
              <w:jc w:val="center"/>
            </w:pPr>
            <w:r>
              <w:rPr>
                <w:rFonts w:ascii="Times New Roman" w:hAnsi="Times New Roman"/>
                <w:sz w:val="16"/>
              </w:rPr>
              <w:t>0.6323</w:t>
            </w:r>
          </w:p>
        </w:tc>
      </w:tr>
      <w:tr>
        <w:tc>
          <w:tcPr>
            <w:tcW w:type="dxa" w:w="2610"/>
          </w:tcPr>
          <w:p>
            <w:pPr>
              <w:spacing w:before="20" w:after="20" w:line="240" w:lineRule="auto"/>
              <w:jc w:val="left"/>
            </w:pPr>
            <w:r>
              <w:rPr>
                <w:rFonts w:ascii="Times New Roman" w:hAnsi="Times New Roman"/>
                <w:sz w:val="16"/>
              </w:rPr>
              <w:t>11-class balanced accuracy</w:t>
            </w:r>
          </w:p>
        </w:tc>
        <w:tc>
          <w:tcPr>
            <w:tcW w:type="dxa" w:w="2610"/>
          </w:tcPr>
          <w:p>
            <w:pPr>
              <w:spacing w:before="20" w:after="20" w:line="240" w:lineRule="auto"/>
              <w:jc w:val="center"/>
            </w:pPr>
            <w:r>
              <w:rPr>
                <w:rFonts w:ascii="Times New Roman" w:hAnsi="Times New Roman"/>
                <w:sz w:val="16"/>
              </w:rPr>
              <w:t>—</w:t>
            </w:r>
          </w:p>
        </w:tc>
        <w:tc>
          <w:tcPr>
            <w:tcW w:type="dxa" w:w="2610"/>
          </w:tcPr>
          <w:p>
            <w:pPr>
              <w:spacing w:before="20" w:after="20" w:line="240" w:lineRule="auto"/>
              <w:jc w:val="center"/>
            </w:pPr>
            <w:r>
              <w:rPr>
                <w:rFonts w:ascii="Times New Roman" w:hAnsi="Times New Roman"/>
                <w:sz w:val="16"/>
              </w:rPr>
              <w:t>0.7036</w:t>
            </w:r>
          </w:p>
        </w:tc>
        <w:tc>
          <w:tcPr>
            <w:tcW w:type="dxa" w:w="2610"/>
          </w:tcPr>
          <w:p>
            <w:pPr>
              <w:spacing w:before="20" w:after="20" w:line="240" w:lineRule="auto"/>
              <w:jc w:val="center"/>
            </w:pPr>
            <w:r>
              <w:rPr>
                <w:rFonts w:ascii="Times New Roman" w:hAnsi="Times New Roman"/>
                <w:sz w:val="16"/>
              </w:rPr>
              <w:t>0.6645</w:t>
            </w:r>
          </w:p>
        </w:tc>
      </w:tr>
    </w:tbl>
    <w:p>
      <w:pPr>
        <w:spacing w:before="0" w:after="40"/>
      </w:pPr>
    </w:p>
    <w:p>
      <w:pPr>
        <w:spacing w:after="80" w:before="0" w:line="252" w:lineRule="auto"/>
        <w:jc w:val="center"/>
      </w:pPr>
      <w:r>
        <w:rPr>
          <w:rFonts w:ascii="Times New Roman" w:hAnsi="Times New Roman"/>
          <w:b w:val="0"/>
          <w:i w:val="0"/>
          <w:sz w:val="16"/>
        </w:rPr>
        <w:t>TABLE III: Representation Specialization Trade-off Matrix.</w:t>
      </w:r>
    </w:p>
    <w:p>
      <w:pPr>
        <w:spacing w:before="100" w:after="40"/>
        <w:jc w:val="left"/>
      </w:pPr>
      <w:r>
        <w:rPr>
          <w:rFonts w:ascii="Times New Roman" w:hAnsi="Times New Roman"/>
          <w:i/>
          <w:sz w:val="19"/>
        </w:rPr>
        <w:t>C. Localization, uncertainty, evidence, and latency</w:t>
      </w:r>
    </w:p>
    <w:p>
      <w:pPr>
        <w:spacing w:after="80" w:before="0" w:line="252" w:lineRule="auto"/>
        <w:jc w:val="both"/>
      </w:pPr>
      <w:r>
        <w:rPr>
          <w:rFonts w:ascii="Times New Roman" w:hAnsi="Times New Roman"/>
          <w:b w:val="0"/>
          <w:i w:val="0"/>
          <w:sz w:val="20"/>
        </w:rPr>
        <w:t>Localization (Fig. 3b) reaches macro IoU 0.4454 and Dice 0.5103 (precision 0.5925, recall 0.4983) on 500 synthetic masks, strong for charging-like (0.7794 IoU) and exposure categories but weak for clipping (0.0762) and local illumination (0.2515). These are synthetic results.</w:t>
      </w:r>
    </w:p>
    <w:p>
      <w:pPr>
        <w:spacing w:after="80" w:before="0" w:line="252" w:lineRule="auto"/>
        <w:jc w:val="both"/>
      </w:pPr>
      <w:r>
        <w:rPr>
          <w:rFonts w:ascii="Times New Roman" w:hAnsi="Times New Roman"/>
          <w:b w:val="0"/>
          <w:i w:val="0"/>
          <w:sz w:val="20"/>
        </w:rPr>
        <w:t>Selective prediction (Fig. 3a) reaches 99.08% accuracy at 29.73% coverage (τ = 0.4) and 100% at 9.73% coverage (90.27% abstention at τ = 0.6). Calibration is poor (ECE 0.3333, Brier 0.4821), so confidence is a routing signal, not a calibrated probability. For the evaluated cohort of 55 queries (275 items; Table IV), every evidence check passed for 100.0% of queries, with no duplicate evidence and no missing provenance; this shows availability, not usefulness to experts. The k-NN novelty score reached AUROC 0.7404 (FPR@95 0.78) for DINOv2; a Carinthia cross-domain screen of 100 images was perfectly separable (AUROC 1.0), reflecting a large domain gap, not general open-set ability.</w:t>
      </w:r>
    </w:p>
    <w:p>
      <w:r>
        <w:drawing>
          <wp:inline xmlns:a="http://schemas.openxmlformats.org/drawingml/2006/main" xmlns:pic="http://schemas.openxmlformats.org/drawingml/2006/picture">
            <wp:extent cx="4114800" cy="3578087"/>
            <wp:docPr id="3" name="Picture 3"/>
            <wp:cNvGraphicFramePr>
              <a:graphicFrameLocks noChangeAspect="1"/>
            </wp:cNvGraphicFramePr>
            <a:graphic>
              <a:graphicData uri="http://schemas.openxmlformats.org/drawingml/2006/picture">
                <pic:pic>
                  <pic:nvPicPr>
                    <pic:cNvPr id="0" name="fig3_selective_and_localization.png"/>
                    <pic:cNvPicPr/>
                  </pic:nvPicPr>
                  <pic:blipFill>
                    <a:blip r:embed="rId11"/>
                    <a:stretch>
                      <a:fillRect/>
                    </a:stretch>
                  </pic:blipFill>
                  <pic:spPr>
                    <a:xfrm>
                      <a:off x="0" y="0"/>
                      <a:ext cx="4114800" cy="3578087"/>
                    </a:xfrm>
                    <a:prstGeom prst="rect"/>
                  </pic:spPr>
                </pic:pic>
              </a:graphicData>
            </a:graphic>
          </wp:inline>
        </w:drawing>
      </w:r>
    </w:p>
    <w:p>
      <w:pPr>
        <w:spacing w:after="80" w:before="0" w:line="252" w:lineRule="auto"/>
        <w:jc w:val="center"/>
      </w:pPr>
      <w:r>
        <w:rPr>
          <w:rFonts w:ascii="Times New Roman" w:hAnsi="Times New Roman"/>
          <w:b w:val="0"/>
          <w:i w:val="0"/>
          <w:sz w:val="16"/>
        </w:rPr>
        <w:t>Fig. 3. (a) Coverage versus selective accuracy at the measured confidence thresholds τ = 0.2, 0.4, 0.6. (b) Per-category IoU and Dice of model-derived suspicious regions on 500 synthetic masks; dashed lines mark macro means (0.4454, 0.5103).</w:t>
      </w:r>
    </w:p>
    <w:tbl>
      <w:tblPr>
        <w:tblW w:type="auto" w:w="0"/>
        <w:jc w:val="center"/>
        <w:tblLook w:firstColumn="1" w:firstRow="1" w:lastColumn="0" w:lastRow="0" w:noHBand="0" w:noVBand="1" w:val="04A0"/>
      </w:tblPr>
      <w:tblGrid>
        <w:gridCol w:w="5220"/>
        <w:gridCol w:w="5220"/>
      </w:tblGrid>
      <w:tr>
        <w:tc>
          <w:tcPr>
            <w:tcW w:type="dxa" w:w="5220"/>
            <w:shd w:fill="F1F5F9"/>
          </w:tcPr>
          <w:p>
            <w:pPr>
              <w:spacing w:before="20" w:after="20" w:line="240" w:lineRule="auto"/>
              <w:jc w:val="center"/>
            </w:pPr>
            <w:r>
              <w:rPr>
                <w:rFonts w:ascii="Times New Roman" w:hAnsi="Times New Roman"/>
                <w:b/>
                <w:sz w:val="16"/>
              </w:rPr>
              <w:t>Evidence Cohort Parameter (N = 55 queries, 275 items)</w:t>
            </w:r>
          </w:p>
        </w:tc>
        <w:tc>
          <w:tcPr>
            <w:tcW w:type="dxa" w:w="5220"/>
            <w:shd w:fill="F1F5F9"/>
          </w:tcPr>
          <w:p>
            <w:pPr>
              <w:spacing w:before="20" w:after="20" w:line="240" w:lineRule="auto"/>
              <w:jc w:val="center"/>
            </w:pPr>
            <w:r>
              <w:rPr>
                <w:rFonts w:ascii="Times New Roman" w:hAnsi="Times New Roman"/>
                <w:b/>
                <w:sz w:val="16"/>
              </w:rPr>
              <w:t>Measurement Value</w:t>
            </w:r>
          </w:p>
        </w:tc>
      </w:tr>
      <w:tr>
        <w:tc>
          <w:tcPr>
            <w:tcW w:type="dxa" w:w="5220"/>
          </w:tcPr>
          <w:p>
            <w:pPr>
              <w:spacing w:before="20" w:after="20" w:line="240" w:lineRule="auto"/>
              <w:jc w:val="left"/>
            </w:pPr>
            <w:r>
              <w:rPr>
                <w:rFonts w:ascii="Times New Roman" w:hAnsi="Times New Roman"/>
                <w:sz w:val="16"/>
              </w:rPr>
              <w:t>Valid evidence availability</w:t>
            </w:r>
          </w:p>
        </w:tc>
        <w:tc>
          <w:tcPr>
            <w:tcW w:type="dxa" w:w="5220"/>
          </w:tcPr>
          <w:p>
            <w:pPr>
              <w:spacing w:before="20" w:after="20" w:line="240" w:lineRule="auto"/>
              <w:jc w:val="center"/>
            </w:pPr>
            <w:r>
              <w:rPr>
                <w:rFonts w:ascii="Times New Roman" w:hAnsi="Times New Roman"/>
                <w:sz w:val="16"/>
              </w:rPr>
              <w:t>100.0%</w:t>
            </w:r>
          </w:p>
        </w:tc>
      </w:tr>
      <w:tr>
        <w:tc>
          <w:tcPr>
            <w:tcW w:type="dxa" w:w="5220"/>
          </w:tcPr>
          <w:p>
            <w:pPr>
              <w:spacing w:before="20" w:after="20" w:line="240" w:lineRule="auto"/>
              <w:jc w:val="left"/>
            </w:pPr>
            <w:r>
              <w:rPr>
                <w:rFonts w:ascii="Times New Roman" w:hAnsi="Times New Roman"/>
                <w:sz w:val="16"/>
              </w:rPr>
              <w:t>Same-specimen cross-acquisition</w:t>
            </w:r>
          </w:p>
        </w:tc>
        <w:tc>
          <w:tcPr>
            <w:tcW w:type="dxa" w:w="5220"/>
          </w:tcPr>
          <w:p>
            <w:pPr>
              <w:spacing w:before="20" w:after="20" w:line="240" w:lineRule="auto"/>
              <w:jc w:val="center"/>
            </w:pPr>
            <w:r>
              <w:rPr>
                <w:rFonts w:ascii="Times New Roman" w:hAnsi="Times New Roman"/>
                <w:sz w:val="16"/>
              </w:rPr>
              <w:t>100.0%</w:t>
            </w:r>
          </w:p>
        </w:tc>
      </w:tr>
      <w:tr>
        <w:tc>
          <w:tcPr>
            <w:tcW w:type="dxa" w:w="5220"/>
          </w:tcPr>
          <w:p>
            <w:pPr>
              <w:spacing w:before="20" w:after="20" w:line="240" w:lineRule="auto"/>
              <w:jc w:val="left"/>
            </w:pPr>
            <w:r>
              <w:rPr>
                <w:rFonts w:ascii="Times New Roman" w:hAnsi="Times New Roman"/>
                <w:sz w:val="16"/>
              </w:rPr>
              <w:t>Cross-instrument evidence</w:t>
            </w:r>
          </w:p>
        </w:tc>
        <w:tc>
          <w:tcPr>
            <w:tcW w:type="dxa" w:w="5220"/>
          </w:tcPr>
          <w:p>
            <w:pPr>
              <w:spacing w:before="20" w:after="20" w:line="240" w:lineRule="auto"/>
              <w:jc w:val="center"/>
            </w:pPr>
            <w:r>
              <w:rPr>
                <w:rFonts w:ascii="Times New Roman" w:hAnsi="Times New Roman"/>
                <w:sz w:val="16"/>
              </w:rPr>
              <w:t>100.0%</w:t>
            </w:r>
          </w:p>
        </w:tc>
      </w:tr>
      <w:tr>
        <w:tc>
          <w:tcPr>
            <w:tcW w:type="dxa" w:w="5220"/>
          </w:tcPr>
          <w:p>
            <w:pPr>
              <w:spacing w:before="20" w:after="20" w:line="240" w:lineRule="auto"/>
              <w:jc w:val="left"/>
            </w:pPr>
            <w:r>
              <w:rPr>
                <w:rFonts w:ascii="Times New Roman" w:hAnsi="Times New Roman"/>
                <w:sz w:val="16"/>
              </w:rPr>
              <w:t>Quality-compatible evidence</w:t>
            </w:r>
          </w:p>
        </w:tc>
        <w:tc>
          <w:tcPr>
            <w:tcW w:type="dxa" w:w="5220"/>
          </w:tcPr>
          <w:p>
            <w:pPr>
              <w:spacing w:before="20" w:after="20" w:line="240" w:lineRule="auto"/>
              <w:jc w:val="center"/>
            </w:pPr>
            <w:r>
              <w:rPr>
                <w:rFonts w:ascii="Times New Roman" w:hAnsi="Times New Roman"/>
                <w:sz w:val="16"/>
              </w:rPr>
              <w:t>100.0%</w:t>
            </w:r>
          </w:p>
        </w:tc>
      </w:tr>
      <w:tr>
        <w:tc>
          <w:tcPr>
            <w:tcW w:type="dxa" w:w="5220"/>
          </w:tcPr>
          <w:p>
            <w:pPr>
              <w:spacing w:before="20" w:after="20" w:line="240" w:lineRule="auto"/>
              <w:jc w:val="left"/>
            </w:pPr>
            <w:r>
              <w:rPr>
                <w:rFonts w:ascii="Times New Roman" w:hAnsi="Times New Roman"/>
                <w:sz w:val="16"/>
              </w:rPr>
              <w:t>Duplicate evidence items</w:t>
            </w:r>
          </w:p>
        </w:tc>
        <w:tc>
          <w:tcPr>
            <w:tcW w:type="dxa" w:w="5220"/>
          </w:tcPr>
          <w:p>
            <w:pPr>
              <w:spacing w:before="20" w:after="20" w:line="240" w:lineRule="auto"/>
              <w:jc w:val="center"/>
            </w:pPr>
            <w:r>
              <w:rPr>
                <w:rFonts w:ascii="Times New Roman" w:hAnsi="Times New Roman"/>
                <w:sz w:val="16"/>
              </w:rPr>
              <w:t>0.0%</w:t>
            </w:r>
          </w:p>
        </w:tc>
      </w:tr>
      <w:tr>
        <w:tc>
          <w:tcPr>
            <w:tcW w:type="dxa" w:w="5220"/>
          </w:tcPr>
          <w:p>
            <w:pPr>
              <w:spacing w:before="20" w:after="20" w:line="240" w:lineRule="auto"/>
              <w:jc w:val="left"/>
            </w:pPr>
            <w:r>
              <w:rPr>
                <w:rFonts w:ascii="Times New Roman" w:hAnsi="Times New Roman"/>
                <w:sz w:val="16"/>
              </w:rPr>
              <w:t>Missing provenance</w:t>
            </w:r>
          </w:p>
        </w:tc>
        <w:tc>
          <w:tcPr>
            <w:tcW w:type="dxa" w:w="5220"/>
          </w:tcPr>
          <w:p>
            <w:pPr>
              <w:spacing w:before="20" w:after="20" w:line="240" w:lineRule="auto"/>
              <w:jc w:val="center"/>
            </w:pPr>
            <w:r>
              <w:rPr>
                <w:rFonts w:ascii="Times New Roman" w:hAnsi="Times New Roman"/>
                <w:sz w:val="16"/>
              </w:rPr>
              <w:t>0.0%</w:t>
            </w:r>
          </w:p>
        </w:tc>
      </w:tr>
      <w:tr>
        <w:tc>
          <w:tcPr>
            <w:tcW w:type="dxa" w:w="5220"/>
          </w:tcPr>
          <w:p>
            <w:pPr>
              <w:spacing w:before="20" w:after="20" w:line="240" w:lineRule="auto"/>
              <w:jc w:val="left"/>
            </w:pPr>
            <w:r>
              <w:rPr>
                <w:rFonts w:ascii="Times New Roman" w:hAnsi="Times New Roman"/>
                <w:sz w:val="16"/>
              </w:rPr>
              <w:t>Deterministic ranking reproducibility</w:t>
            </w:r>
          </w:p>
        </w:tc>
        <w:tc>
          <w:tcPr>
            <w:tcW w:type="dxa" w:w="5220"/>
          </w:tcPr>
          <w:p>
            <w:pPr>
              <w:spacing w:before="20" w:after="20" w:line="240" w:lineRule="auto"/>
              <w:jc w:val="center"/>
            </w:pPr>
            <w:r>
              <w:rPr>
                <w:rFonts w:ascii="Times New Roman" w:hAnsi="Times New Roman"/>
                <w:sz w:val="16"/>
              </w:rPr>
              <w:t>100.0%</w:t>
            </w:r>
          </w:p>
        </w:tc>
      </w:tr>
      <w:tr>
        <w:tc>
          <w:tcPr>
            <w:tcW w:type="dxa" w:w="5220"/>
          </w:tcPr>
          <w:p>
            <w:pPr>
              <w:spacing w:before="20" w:after="20" w:line="240" w:lineRule="auto"/>
              <w:jc w:val="left"/>
            </w:pPr>
            <w:r>
              <w:rPr>
                <w:rFonts w:ascii="Times New Roman" w:hAnsi="Times New Roman"/>
                <w:sz w:val="16"/>
              </w:rPr>
              <w:t>Mean evidence items / query</w:t>
            </w:r>
          </w:p>
        </w:tc>
        <w:tc>
          <w:tcPr>
            <w:tcW w:type="dxa" w:w="5220"/>
          </w:tcPr>
          <w:p>
            <w:pPr>
              <w:spacing w:before="20" w:after="20" w:line="240" w:lineRule="auto"/>
              <w:jc w:val="center"/>
            </w:pPr>
            <w:r>
              <w:rPr>
                <w:rFonts w:ascii="Times New Roman" w:hAnsi="Times New Roman"/>
                <w:sz w:val="16"/>
              </w:rPr>
              <w:t>5.0</w:t>
            </w:r>
          </w:p>
        </w:tc>
      </w:tr>
    </w:tbl>
    <w:p>
      <w:pPr>
        <w:spacing w:before="0" w:after="40"/>
      </w:pPr>
    </w:p>
    <w:p>
      <w:pPr>
        <w:spacing w:after="80" w:before="0" w:line="252" w:lineRule="auto"/>
        <w:jc w:val="center"/>
      </w:pPr>
      <w:r>
        <w:rPr>
          <w:rFonts w:ascii="Times New Roman" w:hAnsi="Times New Roman"/>
          <w:b w:val="0"/>
          <w:i w:val="0"/>
          <w:sz w:val="16"/>
        </w:rPr>
        <w:t>TABLE IV: Grounded Evidence Cohort Verification (N = 55 Queries, 275 Evidence Items).</w:t>
      </w:r>
    </w:p>
    <w:p>
      <w:pPr>
        <w:spacing w:after="80" w:before="0" w:line="252" w:lineRule="auto"/>
        <w:jc w:val="both"/>
      </w:pPr>
      <w:r>
        <w:rPr>
          <w:rFonts w:ascii="Times New Roman" w:hAnsi="Times New Roman"/>
          <w:b w:val="0"/>
          <w:i w:val="0"/>
          <w:sz w:val="20"/>
        </w:rPr>
        <w:t>Orchestration latency. The sealed Phase-6 log (research/results/phase6/latency_results.csv) records 46.00 ms mean and 51.05 ms P95 per image on a local CPU (Python 3.11); stage means are preprocessing 1.27, representation step 0.04, quality screening 5.44, localization 12.20, retrieval 9.44, and evidence aggregation 17.61 ms. The script passes randomly generated 512×512 arrays and random feature vectors through the stages, so the timings exclude DINOv2 encoder inference, image decoding, database access, and network overhead; they are not end-to-end or production latency. An earlier report lists 23.40 ms (P95 28.30 ms); it does not match the sealed log and is not used. GPU and batched latency were not profiled.</w:t>
      </w:r>
    </w:p>
    <w:p>
      <w:pPr>
        <w:spacing w:before="160" w:after="60"/>
        <w:jc w:val="center"/>
      </w:pPr>
      <w:r>
        <w:rPr>
          <w:rFonts w:ascii="Times New Roman" w:hAnsi="Times New Roman"/>
          <w:b/>
          <w:sz w:val="20"/>
        </w:rPr>
        <w:t>VI. DISCUSSION AND LIMITATIONS</w:t>
      </w:r>
    </w:p>
    <w:p>
      <w:pPr>
        <w:spacing w:after="80" w:before="0" w:line="252" w:lineRule="auto"/>
        <w:jc w:val="both"/>
      </w:pPr>
      <w:r>
        <w:rPr>
          <w:rFonts w:ascii="Times New Roman" w:hAnsi="Times New Roman"/>
          <w:b w:val="0"/>
          <w:i w:val="0"/>
          <w:sz w:val="20"/>
        </w:rPr>
        <w:t>The evidence supports three statements: the adapter reduces the observed gap on a held-out instrument; adaptation costs artifact sensitivity; and abstention buys accuracy only at large coverage cost. Late score-level metadata fusion gave no gain: validation MRR was flat for every weight α ≥ 0.1, the tie-break chose α* = 1.0, and test ΔR@1 was 0.0000. This shows no benefit under a saturated validation set, not that metadata is useless; metadata remains essential for filtering and evidence constraints.</w:t>
      </w:r>
    </w:p>
    <w:p>
      <w:pPr>
        <w:spacing w:after="80" w:before="0" w:line="252" w:lineRule="auto"/>
        <w:jc w:val="both"/>
      </w:pPr>
      <w:r>
        <w:rPr>
          <w:rFonts w:ascii="Times New Roman" w:hAnsi="Times New Roman"/>
          <w:b w:val="0"/>
          <w:i w:val="0"/>
          <w:sz w:val="20"/>
        </w:rPr>
        <w:t>Limitations. All splits share three steel specimens and one instrument is held out, so we make no unseen-specimen claim. Quality and localization labels are synthetic, and charging-like artifacts only approximate real charging; image-derived indicators are not physical defects. Localization is a heuristic at 16-pixel resolution, calibration is weak, and the evidence cohort has 55 queries. No expert or prospective study was performed, suggested actions are untested on microscopes, and explanations are deterministic descriptions of model outputs, not causal accounts. Latency depends on the declared CPU environment, the platform serves one seed-42 adapter, validation was local, the duplicate cascade has no labeled benchmark and the HCCI archive holds 774 of the 777 micrographs listed in its record.</w:t>
      </w:r>
    </w:p>
    <w:p>
      <w:pPr>
        <w:spacing w:before="160" w:after="60"/>
        <w:jc w:val="center"/>
      </w:pPr>
      <w:r>
        <w:rPr>
          <w:rFonts w:ascii="Times New Roman" w:hAnsi="Times New Roman"/>
          <w:b/>
          <w:sz w:val="20"/>
        </w:rPr>
        <w:t>VII. CONCLUSION AND FUTURE WORK</w:t>
      </w:r>
    </w:p>
    <w:p>
      <w:pPr>
        <w:spacing w:after="80" w:before="0" w:line="252" w:lineRule="auto"/>
        <w:jc w:val="both"/>
      </w:pPr>
      <w:r>
        <w:rPr>
          <w:rFonts w:ascii="Times New Roman" w:hAnsi="Times New Roman"/>
          <w:b w:val="0"/>
          <w:i w:val="0"/>
          <w:sz w:val="20"/>
        </w:rPr>
        <w:t>SCI-INTEL reduced the observed acquisition-geometry similarity gap by 66.23% on a held-out instrument while the frozen backbone remained the better artifact screener, and it composes the two deterministically with uncertainty-aware human review. Held-out specimens, expert-labeled defects, cross-attention fusion, and user studies remain future work.</w:t>
      </w:r>
    </w:p>
    <w:p>
      <w:pPr>
        <w:spacing w:before="160" w:after="60"/>
        <w:jc w:val="center"/>
      </w:pPr>
      <w:r>
        <w:rPr>
          <w:rFonts w:ascii="Times New Roman" w:hAnsi="Times New Roman"/>
          <w:b/>
          <w:sz w:val="20"/>
        </w:rPr>
        <w:t>COMPLIANCE WITH ETHICAL STANDARDS</w:t>
      </w:r>
    </w:p>
    <w:p>
      <w:pPr>
        <w:spacing w:after="80" w:before="0" w:line="252" w:lineRule="auto"/>
        <w:jc w:val="both"/>
      </w:pPr>
      <w:r>
        <w:rPr>
          <w:rFonts w:ascii="Times New Roman" w:hAnsi="Times New Roman"/>
          <w:b w:val="0"/>
          <w:i w:val="0"/>
          <w:sz w:val="20"/>
        </w:rPr>
        <w:t>This study utilized publicly available scientific imaging datasets (HCCI bearing steel, Carinthia SEM, and BBBC021 bioimage benchmark) and controlled synthetic augmentations. The research did not involve human subjects, patient data, clinical interventions, or live animal experiments, and therefore did not require institutional review board (IRB) approval.</w:t>
      </w:r>
    </w:p>
    <w:p>
      <w:pPr>
        <w:spacing w:before="160" w:after="60"/>
        <w:jc w:val="center"/>
      </w:pPr>
      <w:r>
        <w:rPr>
          <w:rFonts w:ascii="Times New Roman" w:hAnsi="Times New Roman"/>
          <w:b/>
          <w:sz w:val="20"/>
        </w:rPr>
        <w:t>DISCLOSURES &amp; CONFLICTS OF INTEREST</w:t>
      </w:r>
    </w:p>
    <w:p>
      <w:pPr>
        <w:spacing w:after="80" w:before="0" w:line="252" w:lineRule="auto"/>
        <w:jc w:val="both"/>
      </w:pPr>
      <w:r>
        <w:rPr>
          <w:rFonts w:ascii="Times New Roman" w:hAnsi="Times New Roman"/>
          <w:b w:val="0"/>
          <w:i w:val="0"/>
          <w:sz w:val="20"/>
        </w:rPr>
        <w:t>The authors declare that they have no financial or non-financial conflicts of interest. No external commercial funding was received for this study. The authors acknowledge the use of agentic software development assistants for code refactoring, test suite synthesis, and manuscript drafting assistance; final scientific responsibility for all findings, text, and data rests entirely with the authors.</w:t>
      </w:r>
    </w:p>
    <w:p>
      <w:pPr>
        <w:spacing w:before="160" w:after="60"/>
        <w:jc w:val="center"/>
      </w:pPr>
      <w:r>
        <w:rPr>
          <w:rFonts w:ascii="Times New Roman" w:hAnsi="Times New Roman"/>
          <w:b/>
          <w:sz w:val="20"/>
        </w:rPr>
        <w:t>REFERENCES</w:t>
      </w:r>
    </w:p>
    <w:p>
      <w:pPr>
        <w:spacing w:after="40" w:before="0" w:line="252" w:lineRule="auto"/>
        <w:jc w:val="both"/>
      </w:pPr>
      <w:r>
        <w:rPr>
          <w:rFonts w:ascii="Times New Roman" w:hAnsi="Times New Roman"/>
          <w:b w:val="0"/>
          <w:i w:val="0"/>
          <w:sz w:val="16"/>
        </w:rPr>
        <w:t>[1] R. M. Haralick, K. Shanmugam, and I. Dinstein, 'Textural features for image classification,' IEEE Trans. Syst., Man, Cybern., vol. SMC-3, no. 6, pp. 610–621, Nov. 1973.</w:t>
      </w:r>
    </w:p>
    <w:p>
      <w:pPr>
        <w:spacing w:after="40" w:before="0" w:line="252" w:lineRule="auto"/>
        <w:jc w:val="both"/>
      </w:pPr>
      <w:r>
        <w:rPr>
          <w:rFonts w:ascii="Times New Roman" w:hAnsi="Times New Roman"/>
          <w:b w:val="0"/>
          <w:i w:val="0"/>
          <w:sz w:val="16"/>
        </w:rPr>
        <w:t>[2] D. G. Lowe, 'Distinctive image features from scale-invariant keypoints,' Int. J. Comput. Vis., vol. 60, no. 2, pp. 91–110, 2004.</w:t>
      </w:r>
    </w:p>
    <w:p>
      <w:pPr>
        <w:spacing w:after="40" w:before="0" w:line="252" w:lineRule="auto"/>
        <w:jc w:val="both"/>
      </w:pPr>
      <w:r>
        <w:rPr>
          <w:rFonts w:ascii="Times New Roman" w:hAnsi="Times New Roman"/>
          <w:b w:val="0"/>
          <w:i w:val="0"/>
          <w:sz w:val="16"/>
        </w:rPr>
        <w:t>[3] B. L. DeCost and E. A. Holm, 'A computer vision approach for automated analysis and classification of microstructural image data,' Comput. Mater. Sci., vol. 110, pp. 126–133, 2015.</w:t>
      </w:r>
    </w:p>
    <w:p>
      <w:pPr>
        <w:spacing w:after="40" w:before="0" w:line="252" w:lineRule="auto"/>
        <w:jc w:val="both"/>
      </w:pPr>
      <w:r>
        <w:rPr>
          <w:rFonts w:ascii="Times New Roman" w:hAnsi="Times New Roman"/>
          <w:b w:val="0"/>
          <w:i w:val="0"/>
          <w:sz w:val="16"/>
        </w:rPr>
        <w:t>[4] E. A. Holm et al., 'Overview: Computer vision and machine learning for microstructural characterization and analysis,' Metall. Mater. Trans. A, vol. 51, no. 12, pp. 5985–5999, 2020.</w:t>
      </w:r>
    </w:p>
    <w:p>
      <w:pPr>
        <w:spacing w:after="40" w:before="0" w:line="252" w:lineRule="auto"/>
        <w:jc w:val="both"/>
      </w:pPr>
      <w:r>
        <w:rPr>
          <w:rFonts w:ascii="Times New Roman" w:hAnsi="Times New Roman"/>
          <w:b w:val="0"/>
          <w:i w:val="0"/>
          <w:sz w:val="16"/>
        </w:rPr>
        <w:t>[5] A. W. M. Smeulders, M. Worring, S. Santini, A. Gupta, and R. Jain, 'Content-based image retrieval at the end of the early years,' IEEE TPAMI, vol. 22, no. 12, pp. 1349–1380, Dec. 2000.</w:t>
      </w:r>
    </w:p>
    <w:p>
      <w:pPr>
        <w:spacing w:after="40" w:before="0" w:line="252" w:lineRule="auto"/>
        <w:jc w:val="both"/>
      </w:pPr>
      <w:r>
        <w:rPr>
          <w:rFonts w:ascii="Times New Roman" w:hAnsi="Times New Roman"/>
          <w:b w:val="0"/>
          <w:i w:val="0"/>
          <w:sz w:val="16"/>
        </w:rPr>
        <w:t>[6] J. Stuckner, B. Harder, and T. M. Smith, 'Microstructure segmentation with deep learning encoders pre-trained on a large microscopy dataset,' npj Comput. Mater., vol. 8, no. 1, pp. 1–12, 2022.</w:t>
      </w:r>
    </w:p>
    <w:p>
      <w:pPr>
        <w:spacing w:after="40" w:before="0" w:line="252" w:lineRule="auto"/>
        <w:jc w:val="both"/>
      </w:pPr>
      <w:r>
        <w:rPr>
          <w:rFonts w:ascii="Times New Roman" w:hAnsi="Times New Roman"/>
          <w:b w:val="0"/>
          <w:i w:val="0"/>
          <w:sz w:val="16"/>
        </w:rPr>
        <w:t>[7] A. Dosovitskiy et al., 'An image is worth 16x16 words: Transformers for image recognition at scale,' in Proc. ICLR, 2021.</w:t>
      </w:r>
    </w:p>
    <w:p>
      <w:pPr>
        <w:spacing w:after="40" w:before="0" w:line="252" w:lineRule="auto"/>
        <w:jc w:val="both"/>
      </w:pPr>
      <w:r>
        <w:rPr>
          <w:rFonts w:ascii="Times New Roman" w:hAnsi="Times New Roman"/>
          <w:b w:val="0"/>
          <w:i w:val="0"/>
          <w:sz w:val="16"/>
        </w:rPr>
        <w:t>[8] M. Caron et al., 'Emerging properties in self-supervised vision transformers,' in Proc. IEEE/CVF ICCV, 2021, pp. 9650–9660.</w:t>
      </w:r>
    </w:p>
    <w:p>
      <w:pPr>
        <w:spacing w:after="40" w:before="0" w:line="252" w:lineRule="auto"/>
        <w:jc w:val="both"/>
      </w:pPr>
      <w:r>
        <w:rPr>
          <w:rFonts w:ascii="Times New Roman" w:hAnsi="Times New Roman"/>
          <w:b w:val="0"/>
          <w:i w:val="0"/>
          <w:sz w:val="16"/>
        </w:rPr>
        <w:t>[9] K. He, X. Chen, S. Xie, Y. Li, P. Dollár, and R. Girshick, 'Masked autoencoders are scalable vision learners,' in Proc. IEEE/CVF CVPR, 2022, pp. 16000–16009.</w:t>
      </w:r>
    </w:p>
    <w:p>
      <w:pPr>
        <w:spacing w:after="40" w:before="0" w:line="252" w:lineRule="auto"/>
        <w:jc w:val="both"/>
      </w:pPr>
      <w:r>
        <w:rPr>
          <w:rFonts w:ascii="Times New Roman" w:hAnsi="Times New Roman"/>
          <w:b w:val="0"/>
          <w:i w:val="0"/>
          <w:sz w:val="16"/>
        </w:rPr>
        <w:t>[10] M. Oquab et al., 'DINOv2: Learning robust visual features without supervision,' Trans. Mach. Learn. Res., 2024.</w:t>
      </w:r>
    </w:p>
    <w:p>
      <w:pPr>
        <w:spacing w:after="40" w:before="0" w:line="252" w:lineRule="auto"/>
        <w:jc w:val="both"/>
      </w:pPr>
      <w:r>
        <w:rPr>
          <w:rFonts w:ascii="Times New Roman" w:hAnsi="Times New Roman"/>
          <w:b w:val="0"/>
          <w:i w:val="0"/>
          <w:sz w:val="16"/>
        </w:rPr>
        <w:t>[11] K. He, X. Zhang, S. Ren, and J. Sun, 'Deep residual learning for image recognition,' in Proc. IEEE CVPR, 2016, pp. 770–778.</w:t>
      </w:r>
    </w:p>
    <w:p>
      <w:pPr>
        <w:spacing w:after="40" w:before="0" w:line="252" w:lineRule="auto"/>
        <w:jc w:val="both"/>
      </w:pPr>
      <w:r>
        <w:rPr>
          <w:rFonts w:ascii="Times New Roman" w:hAnsi="Times New Roman"/>
          <w:b w:val="0"/>
          <w:i w:val="0"/>
          <w:sz w:val="16"/>
        </w:rPr>
        <w:t>[12] T. Chen, S. Kornblith, M. Norouzi, and G. Hinton, 'A simple framework for contrastive learning of visual representations,' in Proc. ICML, 2020, pp. 1597–1607.</w:t>
      </w:r>
    </w:p>
    <w:p>
      <w:pPr>
        <w:spacing w:after="40" w:before="0" w:line="252" w:lineRule="auto"/>
        <w:jc w:val="both"/>
      </w:pPr>
      <w:r>
        <w:rPr>
          <w:rFonts w:ascii="Times New Roman" w:hAnsi="Times New Roman"/>
          <w:b w:val="0"/>
          <w:i w:val="0"/>
          <w:sz w:val="16"/>
        </w:rPr>
        <w:t>[13] P. Khosla et al., 'Supervised contrastive learning,' in Adv. Neural Inf. Process. Syst. (NeurIPS), vol. 33, 2020, pp. 18661–18673.</w:t>
      </w:r>
    </w:p>
    <w:p>
      <w:pPr>
        <w:spacing w:after="40" w:before="0" w:line="252" w:lineRule="auto"/>
        <w:jc w:val="both"/>
      </w:pPr>
      <w:r>
        <w:rPr>
          <w:rFonts w:ascii="Times New Roman" w:hAnsi="Times New Roman"/>
          <w:b w:val="0"/>
          <w:i w:val="0"/>
          <w:sz w:val="16"/>
        </w:rPr>
        <w:t>[14] S. Ben-David et al., 'A theory of learning from different domains,' Mach. Learn., vol. 79, no. 1–2, pp. 151–175, 2010.</w:t>
      </w:r>
    </w:p>
    <w:p>
      <w:pPr>
        <w:spacing w:after="40" w:before="0" w:line="252" w:lineRule="auto"/>
        <w:jc w:val="both"/>
      </w:pPr>
      <w:r>
        <w:rPr>
          <w:rFonts w:ascii="Times New Roman" w:hAnsi="Times New Roman"/>
          <w:b w:val="0"/>
          <w:i w:val="0"/>
          <w:sz w:val="16"/>
        </w:rPr>
        <w:t>[15] J. Johnson, M. Douze, and H. Jégou, 'Billion-scale similarity search with GPUs,' IEEE Trans. Big Data, vol. 7, no. 3, pp. 535–547, Jul. 2021.</w:t>
      </w:r>
    </w:p>
    <w:p>
      <w:pPr>
        <w:spacing w:after="40" w:before="0" w:line="252" w:lineRule="auto"/>
        <w:jc w:val="both"/>
      </w:pPr>
      <w:r>
        <w:rPr>
          <w:rFonts w:ascii="Times New Roman" w:hAnsi="Times New Roman"/>
          <w:b w:val="0"/>
          <w:i w:val="0"/>
          <w:sz w:val="16"/>
        </w:rPr>
        <w:t>[16] Y. A. Malkov and D. A. Yashunin, 'Efficient and robust approximate nearest neighbor search using hierarchical navigable small world graphs,' IEEE TPAMI, vol. 42, no. 4, pp. 824–836, Apr. 2020.</w:t>
      </w:r>
    </w:p>
    <w:p>
      <w:pPr>
        <w:spacing w:after="40" w:before="0" w:line="252" w:lineRule="auto"/>
        <w:jc w:val="both"/>
      </w:pPr>
      <w:r>
        <w:rPr>
          <w:rFonts w:ascii="Times New Roman" w:hAnsi="Times New Roman"/>
          <w:b w:val="0"/>
          <w:i w:val="0"/>
          <w:sz w:val="16"/>
        </w:rPr>
        <w:t>[17] A. Mittal, A. K. Moorthy, and A. C. Bovik, 'No-reference image quality assessment in the spatial domain,' IEEE TIP, vol. 21, no. 12, pp. 4695–4708, Dec. 2012.</w:t>
      </w:r>
    </w:p>
    <w:p>
      <w:pPr>
        <w:spacing w:after="40" w:before="0" w:line="252" w:lineRule="auto"/>
        <w:jc w:val="both"/>
      </w:pPr>
      <w:r>
        <w:rPr>
          <w:rFonts w:ascii="Times New Roman" w:hAnsi="Times New Roman"/>
          <w:b w:val="0"/>
          <w:i w:val="0"/>
          <w:sz w:val="16"/>
        </w:rPr>
        <w:t>[18] Z. Wang, A. C. Bovik, H. R. Sheikh, and E. P. Simoncelli, 'Image quality assessment: From error visibility to structural similarity,' IEEE TIP, vol. 13, no. 4, pp. 600–612, Apr. 2004.</w:t>
      </w:r>
    </w:p>
    <w:p>
      <w:pPr>
        <w:spacing w:after="40" w:before="0" w:line="252" w:lineRule="auto"/>
        <w:jc w:val="both"/>
      </w:pPr>
      <w:r>
        <w:rPr>
          <w:rFonts w:ascii="Times New Roman" w:hAnsi="Times New Roman"/>
          <w:b w:val="0"/>
          <w:i w:val="0"/>
          <w:sz w:val="16"/>
        </w:rPr>
        <w:t>[19] P. Bergmann et al., 'MVTec AD—a comprehensive real-world dataset for unsupervised anomaly detection,' in Proc. IEEE/CVF CVPR, 2019, pp. 9592–9600.</w:t>
      </w:r>
    </w:p>
    <w:p>
      <w:pPr>
        <w:spacing w:after="40" w:before="0" w:line="252" w:lineRule="auto"/>
        <w:jc w:val="both"/>
      </w:pPr>
      <w:r>
        <w:rPr>
          <w:rFonts w:ascii="Times New Roman" w:hAnsi="Times New Roman"/>
          <w:b w:val="0"/>
          <w:i w:val="0"/>
          <w:sz w:val="16"/>
        </w:rPr>
        <w:t>[20] Y. Geifman and R. El-Yaniv, 'Selective classification for deep neural networks,' in Adv. Neural Inf. Process. Syst. (NIPS), vol. 30, 2017, pp. 4878–4887.</w:t>
      </w:r>
    </w:p>
    <w:p>
      <w:pPr>
        <w:spacing w:after="40" w:before="0" w:line="252" w:lineRule="auto"/>
        <w:jc w:val="both"/>
      </w:pPr>
      <w:r>
        <w:rPr>
          <w:rFonts w:ascii="Times New Roman" w:hAnsi="Times New Roman"/>
          <w:b w:val="0"/>
          <w:i w:val="0"/>
          <w:sz w:val="16"/>
        </w:rPr>
        <w:t>[21] D. Hendrycks and K. Gimpel, 'A baseline for detecting misclassified and out-of-distribution examples in neural networks,' in Proc. ICLR, 2017.</w:t>
      </w:r>
    </w:p>
    <w:p>
      <w:pPr>
        <w:spacing w:after="40" w:before="0" w:line="252" w:lineRule="auto"/>
        <w:jc w:val="both"/>
      </w:pPr>
      <w:r>
        <w:rPr>
          <w:rFonts w:ascii="Times New Roman" w:hAnsi="Times New Roman"/>
          <w:b w:val="0"/>
          <w:i w:val="0"/>
          <w:sz w:val="16"/>
        </w:rPr>
        <w:t>[22] C. Guo, G. Pleiss, Y. Sun, and K. Q. Weinberger, 'On calibration of modern neural networks,' in Proc. ICML, 2017, pp. 1321–1330.</w:t>
      </w:r>
    </w:p>
    <w:p>
      <w:pPr>
        <w:spacing w:after="40" w:before="0" w:line="252" w:lineRule="auto"/>
        <w:jc w:val="both"/>
      </w:pPr>
      <w:r>
        <w:rPr>
          <w:rFonts w:ascii="Times New Roman" w:hAnsi="Times New Roman"/>
          <w:b w:val="0"/>
          <w:i w:val="0"/>
          <w:sz w:val="16"/>
        </w:rPr>
        <w:t>[23] C. Zauner, 'Implementation and benchmarking of perceptual image hash functions,' Master's thesis, Upper Austria Univ. Appl. Sci., Hagenberg Campus, 2010.</w:t>
      </w:r>
    </w:p>
    <w:p>
      <w:pPr>
        <w:spacing w:after="40" w:before="0" w:line="252" w:lineRule="auto"/>
        <w:jc w:val="both"/>
      </w:pPr>
      <w:r>
        <w:rPr>
          <w:rFonts w:ascii="Times New Roman" w:hAnsi="Times New Roman"/>
          <w:b w:val="0"/>
          <w:i w:val="0"/>
          <w:sz w:val="16"/>
        </w:rPr>
        <w:t>[24] M. D. Wilkinson et al., 'The FAIR guiding principles for scientific data management and stewardship,' Sci. Data, vol. 3, p. 160018, 2016.</w:t>
      </w:r>
    </w:p>
    <w:p>
      <w:pPr>
        <w:spacing w:after="40" w:before="0" w:line="252" w:lineRule="auto"/>
        <w:jc w:val="both"/>
      </w:pPr>
      <w:r>
        <w:rPr>
          <w:rFonts w:ascii="Times New Roman" w:hAnsi="Times New Roman"/>
          <w:b w:val="0"/>
          <w:i w:val="0"/>
          <w:sz w:val="16"/>
        </w:rPr>
        <w:t>[25] I. Loshchilov and F. Hutter, 'Decoupled weight decay regularization,' in Proc. ICLR, 2019.</w:t>
      </w:r>
    </w:p>
    <w:p>
      <w:pPr>
        <w:spacing w:after="40" w:before="0" w:line="252" w:lineRule="auto"/>
        <w:jc w:val="both"/>
      </w:pPr>
      <w:r>
        <w:rPr>
          <w:rFonts w:ascii="Times New Roman" w:hAnsi="Times New Roman"/>
          <w:b w:val="0"/>
          <w:i w:val="0"/>
          <w:sz w:val="16"/>
        </w:rPr>
        <w:t>[26] V. Ljosa, K. L. Sokolnicki, and A. E. Carpenter, 'Annotated high-throughput microscopy image sets for validation,' Nat. Methods, vol. 9, no. 7, p. 637, 2012.</w:t>
      </w:r>
    </w:p>
    <w:p>
      <w:pPr>
        <w:spacing w:after="40" w:before="0" w:line="252" w:lineRule="auto"/>
        <w:jc w:val="both"/>
      </w:pPr>
      <w:r>
        <w:rPr>
          <w:rFonts w:ascii="Times New Roman" w:hAnsi="Times New Roman"/>
          <w:b w:val="0"/>
          <w:i w:val="0"/>
          <w:sz w:val="16"/>
        </w:rPr>
        <w:t>[27] B.-I. Bachmann, M. Stiefel, M. Müller, and F. T. Mücklich, 'A systematically designed open-access SEM dataset and robustness benchmark for machine learning-based microstructure segmentation: A high-chromium cast iron case study,' Zenodo, v1, Aug. 2026, doi: 10.5281/zenodo.21931379.</w:t>
      </w:r>
    </w:p>
    <w:p>
      <w:pPr>
        <w:spacing w:after="40" w:before="0" w:line="252" w:lineRule="auto"/>
        <w:jc w:val="both"/>
      </w:pPr>
      <w:r>
        <w:rPr>
          <w:rFonts w:ascii="Times New Roman" w:hAnsi="Times New Roman"/>
          <w:b w:val="0"/>
          <w:i w:val="0"/>
          <w:sz w:val="16"/>
        </w:rPr>
        <w:t>[28] C. Kofler, S. Strauß, A. Zernig, E. Lazaro Garcia, M. Boxleitner, B. Mayr, I. Dicillia-Kovatsch, and C. A. Dohr, 'Carinthia dataset,' Zenodo, v2, Feb. 2024, doi: 10.5281/zenodo.10715190.</w:t>
      </w:r>
    </w:p>
    <w:p>
      <w:pPr>
        <w:spacing w:after="40" w:before="0" w:line="252" w:lineRule="auto"/>
        <w:jc w:val="both"/>
      </w:pPr>
      <w:r>
        <w:rPr>
          <w:rFonts w:ascii="Times New Roman" w:hAnsi="Times New Roman"/>
          <w:b w:val="0"/>
          <w:i w:val="0"/>
          <w:sz w:val="16"/>
        </w:rPr>
        <w:t>[29] R. Aversa, M. H. Modarres, S. Cozzini, R. Ciancio, and A. Chiusole, 'The first annotated set of scanning electron microscopy images for nanoscience,' Sci. Data, vol. 5, p. 180172, 2018.</w:t>
      </w:r>
    </w:p>
    <w:sectPr w:rsidR="00FC693F" w:rsidRPr="0006063C" w:rsidSect="00034616">
      <w:pgSz w:w="12240" w:h="15840"/>
      <w:pgMar w:top="1080" w:right="900" w:bottom="1224"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