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z w:val="36"/>
        </w:rPr>
        <w:t>SCI-INTEL: Acquisition-Aware Retrieval and Quality-Risk Curation of Scientific Microscopy Images</w:t>
      </w:r>
    </w:p>
    <w:p>
      <w:pPr>
        <w:spacing w:after="200" w:before="0"/>
        <w:jc w:val="center"/>
      </w:pPr>
      <w:r>
        <w:rPr>
          <w:rFonts w:ascii="Times New Roman" w:hAnsi="Times New Roman"/>
          <w:b w:val="0"/>
          <w:i/>
          <w:sz w:val="20"/>
        </w:rPr>
        <w:t>[Author names, academic affiliations, and email addresses omitted for initial peer review / to be populated prior to publication]</w:t>
      </w:r>
    </w:p>
    <w:p>
      <w:pPr>
        <w:spacing w:after="80" w:before="0"/>
        <w:jc w:val="both"/>
      </w:pPr>
      <w:r>
        <w:rPr>
          <w:rFonts w:ascii="Times New Roman" w:hAnsi="Times New Roman"/>
          <w:b/>
          <w:i w:val="0"/>
          <w:sz w:val="18"/>
        </w:rPr>
        <w:t>Abstract—Micrographs in scientific repositories look different depending on instrument, detector, and accelerating voltage, which weakens similarity search and makes quality control slow. We present SCI-INTEL, a locally validated platform for retrieval and quality-risk curation of scanning electron microscopy (SEM) images. It keeps two separate representations, a frozen DINOv2 ViT-S/14 for image-derived quality screening and an acquisition-aware supervised-contrastive adapter for retrieval, and joins them through deterministic evidence retrieval, rule-based suggested actions, uncertainty-aware abstention, and an auditable human-review workflow rather than a learned fusion. On an instrument-held-out split of the HCCI cast-iron collection (212 queries, Zeiss Gemini), the adapter reduced the observed acquisition-geometry similarity gap from 0.2016 to 0.0681 (66.23%; paired dz=2.19, p=5.03×10^-36, N=210 queries) and raised Recall@5 from 0.9858 to 0.9921 under an unmasked cross-acquisition protocol, while lowering 11-class artifact macro-F1 from 0.6837 to 0.6323. On a controlled synthetic-degradation benchmark, frozen DINOv2 reached AUROC 0.8582, and model-derived suspicious-region localization reached macro IoU 0.4454 and Dice 0.5103. Supporting evidence was available for all 55 queries of an evaluated cohort, and audited pipeline latency was 23.40 ms (P95 28.30 ms) on a CPU testbed. We report limitations candidly, including specimen overlap across splits and synthetic ground truth.</w:t>
      </w:r>
    </w:p>
    <w:p>
      <w:pPr>
        <w:spacing w:after="200" w:before="0"/>
        <w:jc w:val="both"/>
      </w:pPr>
      <w:r>
        <w:rPr>
          <w:rFonts w:ascii="Times New Roman" w:hAnsi="Times New Roman"/>
          <w:b/>
          <w:i/>
          <w:sz w:val="18"/>
        </w:rPr>
        <w:t>Index Terms—scanning electron microscopy, image retrieval, DINOv2, supervised contrastive learning, acquisition robustness, quality assessment, selective prediction, data curation.</w:t>
      </w:r>
    </w:p>
    <w:p>
      <w:pPr>
        <w:spacing w:before="200" w:after="80"/>
        <w:jc w:val="center"/>
      </w:pPr>
      <w:r>
        <w:rPr>
          <w:rFonts w:ascii="Times New Roman" w:hAnsi="Times New Roman"/>
          <w:b/>
          <w:sz w:val="20"/>
        </w:rPr>
        <w:t>I. INTRODUCTION</w:t>
      </w:r>
    </w:p>
    <w:p>
      <w:pPr>
        <w:spacing w:after="80" w:before="0"/>
        <w:jc w:val="both"/>
      </w:pPr>
      <w:r>
        <w:rPr>
          <w:rFonts w:ascii="Times New Roman" w:hAnsi="Times New Roman"/>
          <w:b w:val="0"/>
          <w:i w:val="0"/>
          <w:sz w:val="20"/>
        </w:rPr>
        <w:t>Scanning electron microscopy (SEM) forms an image by rastering a focused electron beam over a specimen and recording secondary-electron (SE) or backscattered-electron (BSE) signals. The accelerating voltage sets the beam's interaction volume, and the detector sets which signal builds contrast, so the same specimen imaged at 5 kV with an SE detector and at 20 kV with a BSE detector can look strikingly different. Working distance, magnification, focus, stigmation, and charging add further variation. Scientific archives therefore hold collections in which how an image was acquired competes with what was imaged.</w:t>
      </w:r>
    </w:p>
    <w:p>
      <w:pPr>
        <w:spacing w:after="80" w:before="0"/>
        <w:jc w:val="both"/>
      </w:pPr>
      <w:r>
        <w:rPr>
          <w:rFonts w:ascii="Times New Roman" w:hAnsi="Times New Roman"/>
          <w:b w:val="0"/>
          <w:i w:val="0"/>
          <w:sz w:val="20"/>
        </w:rPr>
        <w:t>This creates four problems for repository-scale curation. (1) Acquisition-induced visual variance: embedding-space neighbors tend to share instrument settings rather than specimen identity. (2) Unverified metadata fusion: acquisition metadata is routinely assumed to help search, yet this is rarely tested against a strong visual backbone. (3) Redundancy: re-scans and re-exports inflate archives, but aggressive deduplication risks discarding legitimate acquisitions. (4) Absent auditability: automated suggestions need traceable provenance and a human decision point. We frame the task as scientific-image retrieval and quality-risk curation; it is not clinical diagnosis, and all quality indicators are image-derived and advisory.</w:t>
      </w:r>
    </w:p>
    <w:p>
      <w:pPr>
        <w:spacing w:after="80" w:before="0"/>
        <w:jc w:val="both"/>
      </w:pPr>
      <w:r>
        <w:rPr>
          <w:rFonts w:ascii="Times New Roman" w:hAnsi="Times New Roman"/>
          <w:b w:val="0"/>
          <w:i w:val="0"/>
          <w:sz w:val="20"/>
        </w:rPr>
        <w:t>Contributions. (i) An acquisition-aware supervised-contrastive adapter on frozen DINOv2 features that reduces the observed similarity gap by 66.23% on an instrument-held-out split. (ii) A quantified specialization trade-off between retrieval and artifact sensitivity, which motivates keeping dual representations composed by deterministic orchestration rather than learned fusion. (iii) An image-derived quality-risk, suspicious-region localization, evidence-retrieval, and abstention path, evaluated on a controlled synthetic benchmark, with an explicit coverage–accuracy trade-off. (iv) A reproducible curation platform with a 17-stage workflow, cryptographic provenance, and an audit trail, together with a documented negative result for late score-level metadata fusion.</w:t>
      </w:r>
    </w:p>
    <w:p>
      <w:pPr>
        <w:spacing w:before="200" w:after="80"/>
        <w:jc w:val="center"/>
      </w:pPr>
      <w:r>
        <w:rPr>
          <w:rFonts w:ascii="Times New Roman" w:hAnsi="Times New Roman"/>
          <w:b/>
          <w:sz w:val="20"/>
        </w:rPr>
        <w:t>II. LITERATURE SURVEY</w:t>
      </w:r>
    </w:p>
    <w:p>
      <w:pPr>
        <w:spacing w:after="80" w:before="0"/>
        <w:jc w:val="both"/>
      </w:pPr>
      <w:r>
        <w:rPr>
          <w:rFonts w:ascii="Times New Roman" w:hAnsi="Times New Roman"/>
          <w:b w:val="0"/>
          <w:i w:val="0"/>
          <w:sz w:val="20"/>
        </w:rPr>
        <w:t>A. Micrograph retrieval. Early materials-informatics systems used handcrafted descriptors such as GLCM textures [1], SIFT [2], and bag-of-visual-features signatures for microstructure search and classification [3]; surveys of computer vision for microstructures are given in [4], and the general CBIR problem in [5]. In-domain pre-training such as MicroNet improves out-of-distribution micrograph segmentation [6].</w:t>
      </w:r>
    </w:p>
    <w:p>
      <w:pPr>
        <w:spacing w:after="80" w:before="0"/>
        <w:jc w:val="both"/>
      </w:pPr>
      <w:r>
        <w:rPr>
          <w:rFonts w:ascii="Times New Roman" w:hAnsi="Times New Roman"/>
          <w:b w:val="0"/>
          <w:i w:val="0"/>
          <w:sz w:val="20"/>
        </w:rPr>
        <w:t>B. Self-supervised foundations. Vision Transformers [7] trained with self-distillation [8], masked modeling [9], or at scale as DINOv2 [10] give general-purpose features; ResNet features [11] remain a common baseline.</w:t>
      </w:r>
    </w:p>
    <w:p>
      <w:pPr>
        <w:spacing w:after="80" w:before="0"/>
        <w:jc w:val="both"/>
      </w:pPr>
      <w:r>
        <w:rPr>
          <w:rFonts w:ascii="Times New Roman" w:hAnsi="Times New Roman"/>
          <w:b w:val="0"/>
          <w:i w:val="0"/>
          <w:sz w:val="20"/>
        </w:rPr>
        <w:t>C. Acquisition invariance and metric learning. Contrastive objectives [12] and their supervised form [13] shape metric spaces; domain-divergence theory [14] motivates treating instrument shift as a distribution shift. We adapt supervised contrastive learning so that same-specimen, same-acquisition pairs are neither positives nor negatives.</w:t>
      </w:r>
    </w:p>
    <w:p>
      <w:pPr>
        <w:spacing w:after="80" w:before="0"/>
        <w:jc w:val="both"/>
      </w:pPr>
      <w:r>
        <w:rPr>
          <w:rFonts w:ascii="Times New Roman" w:hAnsi="Times New Roman"/>
          <w:b w:val="0"/>
          <w:i w:val="0"/>
          <w:sz w:val="20"/>
        </w:rPr>
        <w:t>D. Vector indexing. Exact inner-product search and graph-based approximate indices [15, 16] make 384-d embeddings searchable at interactive speed.</w:t>
      </w:r>
    </w:p>
    <w:p>
      <w:pPr>
        <w:spacing w:after="80" w:before="0"/>
        <w:jc w:val="both"/>
      </w:pPr>
      <w:r>
        <w:rPr>
          <w:rFonts w:ascii="Times New Roman" w:hAnsi="Times New Roman"/>
          <w:b w:val="0"/>
          <w:i w:val="0"/>
          <w:sz w:val="20"/>
        </w:rPr>
        <w:t>E. Quality, anomalies, and selective prediction. No-reference quality measures [17], structural similarity [18], and anomaly benchmarks [19] inform our indicators; we use confidence-based abstention [20, 21] and report calibration error [22].</w:t>
      </w:r>
    </w:p>
    <w:p>
      <w:pPr>
        <w:spacing w:after="80" w:before="0"/>
        <w:jc w:val="both"/>
      </w:pPr>
      <w:r>
        <w:rPr>
          <w:rFonts w:ascii="Times New Roman" w:hAnsi="Times New Roman"/>
          <w:b w:val="0"/>
          <w:i w:val="0"/>
          <w:sz w:val="20"/>
        </w:rPr>
        <w:t>F. Curation and FAIR data. Perceptual hashing [23] and FAIR principles [24] underpin our deduplication and provenance design.</w:t>
      </w:r>
    </w:p>
    <w:p>
      <w:pPr>
        <w:spacing w:before="200" w:after="80"/>
        <w:jc w:val="center"/>
      </w:pPr>
      <w:r>
        <w:rPr>
          <w:rFonts w:ascii="Times New Roman" w:hAnsi="Times New Roman"/>
          <w:b/>
          <w:sz w:val="20"/>
        </w:rPr>
        <w:t>III. THE SCI-INTEL PLATFORM</w:t>
      </w:r>
    </w:p>
    <w:p>
      <w:pPr>
        <w:spacing w:before="120" w:after="40"/>
        <w:jc w:val="left"/>
      </w:pPr>
      <w:r>
        <w:rPr>
          <w:rFonts w:ascii="Times New Roman" w:hAnsi="Times New Roman"/>
          <w:i/>
          <w:sz w:val="20"/>
        </w:rPr>
        <w:t>A. Workflow and Architecture</w:t>
      </w:r>
    </w:p>
    <w:p>
      <w:pPr>
        <w:spacing w:after="80" w:before="0"/>
        <w:jc w:val="both"/>
      </w:pPr>
      <w:r>
        <w:rPr>
          <w:rFonts w:ascii="Times New Roman" w:hAnsi="Times New Roman"/>
          <w:b w:val="0"/>
          <w:i w:val="0"/>
          <w:sz w:val="20"/>
        </w:rPr>
        <w:t>Fig. 1 summarizes the implemented workflow: login, upload, validation, storage, metadata, representation, quality screening, localization, retrieval, evidence retrieval, explanation, suggested action, uncertainty handling, review, curation, audit, and provenance. The two 384-dimensional representations remain separate and are joined only by deterministic orchestration. The backend is FastAPI with JWT authentication and role-based access, SQLAlchemy persistence, and a React/TypeScript workbench. Offline training and evaluation (Sections IV–V) are separate from this online path.</w:t>
      </w:r>
    </w:p>
    <w:p>
      <w:r>
        <w:drawing>
          <wp:inline xmlns:a="http://schemas.openxmlformats.org/drawingml/2006/main" xmlns:pic="http://schemas.openxmlformats.org/drawingml/2006/picture">
            <wp:extent cx="6492240" cy="3873020"/>
            <wp:docPr id="1" name="Picture 1"/>
            <wp:cNvGraphicFramePr>
              <a:graphicFrameLocks noChangeAspect="1"/>
            </wp:cNvGraphicFramePr>
            <a:graphic>
              <a:graphicData uri="http://schemas.openxmlformats.org/drawingml/2006/picture">
                <pic:pic>
                  <pic:nvPicPr>
                    <pic:cNvPr id="0" name="architecture_final.png"/>
                    <pic:cNvPicPr/>
                  </pic:nvPicPr>
                  <pic:blipFill>
                    <a:blip r:embed="rId9"/>
                    <a:stretch>
                      <a:fillRect/>
                    </a:stretch>
                  </pic:blipFill>
                  <pic:spPr>
                    <a:xfrm>
                      <a:off x="0" y="0"/>
                      <a:ext cx="6492240" cy="3873020"/>
                    </a:xfrm>
                    <a:prstGeom prst="rect"/>
                  </pic:spPr>
                </pic:pic>
              </a:graphicData>
            </a:graphic>
          </wp:inline>
        </w:drawing>
      </w:r>
    </w:p>
    <w:p>
      <w:pPr>
        <w:spacing w:after="120" w:before="0"/>
        <w:jc w:val="center"/>
      </w:pPr>
      <w:r>
        <w:rPr>
          <w:rFonts w:ascii="Times New Roman" w:hAnsi="Times New Roman"/>
          <w:b w:val="0"/>
          <w:i w:val="0"/>
          <w:sz w:val="16"/>
        </w:rPr>
        <w:t>Fig. 1. SCI-INTEL architecture. Frozen DINOv2 supports image-derived quality screening and suspicious-region localization; the adapted representation supports acquisition-aware retrieval. Deterministic orchestration supplies evidence and suggested actions, while uncertain cases remain subject to human review.</w:t>
      </w:r>
    </w:p>
    <w:p>
      <w:pPr>
        <w:spacing w:before="120" w:after="40"/>
        <w:jc w:val="left"/>
      </w:pPr>
      <w:r>
        <w:rPr>
          <w:rFonts w:ascii="Times New Roman" w:hAnsi="Times New Roman"/>
          <w:i/>
          <w:sz w:val="20"/>
        </w:rPr>
        <w:t>B. Representations and Retrieval</w:t>
      </w:r>
    </w:p>
    <w:p>
      <w:pPr>
        <w:spacing w:after="80" w:before="0"/>
        <w:jc w:val="both"/>
      </w:pPr>
      <w:r>
        <w:rPr>
          <w:rFonts w:ascii="Times New Roman" w:hAnsi="Times New Roman"/>
          <w:b w:val="0"/>
          <w:i w:val="0"/>
          <w:sz w:val="20"/>
        </w:rPr>
        <w:t>Frozen backbone. Images are resized (bicubic), ImageNet-normalized, and encoded by frozen DINOv2 ViT-S/14 into z in R^384, then L2-normalized: z_hat = z / ||z||_2, s(q, x) = z_hat_q . z_hat_x. Scores are cosine similarities computed as inner products in FAISS IndexFlatIP indices, one for the frozen space and one for the adapted space.</w:t>
      </w:r>
    </w:p>
    <w:p>
      <w:pPr>
        <w:spacing w:after="80" w:before="0"/>
        <w:jc w:val="both"/>
      </w:pPr>
      <w:r>
        <w:rPr>
          <w:rFonts w:ascii="Times New Roman" w:hAnsi="Times New Roman"/>
          <w:b w:val="0"/>
          <w:i w:val="0"/>
          <w:sz w:val="20"/>
        </w:rPr>
        <w:t>Acquisition-aware adapter. A projection head maps z_hat to a unit-norm 384-d embedding. The seed-42 head is linear; seeds 123 and 2024 use Linear–LayerNorm–GELU–Linear. For a batch with specimen labels m_i and acquisition labels a_i, positives are P(i) = {p != i : m_p = m_i, a_p != a_i}, and the comparison set V(i) excludes i and same-specimen, same-acquisition peers. Training used AdamW [25] (learning rate 10^-4, weight decay 10^-4, batch 64, &lt;= 40 epochs) on 427 training images, with model selection on 135 validation images. The deployed platform loads the seed-42 linear head and verifies its cryptographic SHA-256 hash.</w:t>
      </w:r>
    </w:p>
    <w:p>
      <w:pPr>
        <w:spacing w:after="80" w:before="0"/>
        <w:jc w:val="both"/>
      </w:pPr>
      <w:r>
        <w:rPr>
          <w:rFonts w:ascii="Times New Roman" w:hAnsi="Times New Roman"/>
          <w:b w:val="0"/>
          <w:i w:val="0"/>
          <w:sz w:val="20"/>
        </w:rPr>
        <w:t>Acquisition gap. For pairs of images of the same specimen, let s_within and s_cross be mean cosine similarities of same-acquisition and cross-acquisition pairs: Delta = s_within - s_cross, R_Delta = (Delta_base - Delta_adapt) / Delta_base * 100%.</w:t>
      </w:r>
    </w:p>
    <w:p>
      <w:pPr>
        <w:spacing w:before="120" w:after="40"/>
        <w:jc w:val="left"/>
      </w:pPr>
      <w:r>
        <w:rPr>
          <w:rFonts w:ascii="Times New Roman" w:hAnsi="Times New Roman"/>
          <w:i/>
          <w:sz w:val="20"/>
        </w:rPr>
        <w:t>C. Quality Risk, Localization, Uncertainty, Evidence</w:t>
      </w:r>
    </w:p>
    <w:p>
      <w:pPr>
        <w:spacing w:after="80" w:before="0"/>
        <w:jc w:val="both"/>
      </w:pPr>
      <w:r>
        <w:rPr>
          <w:rFonts w:ascii="Times New Roman" w:hAnsi="Times New Roman"/>
          <w:b w:val="0"/>
          <w:i w:val="0"/>
          <w:sz w:val="20"/>
        </w:rPr>
        <w:t>Image-derived quality indicators. The platform computes Laplacian variance (defocus), Shannon entropy, clipping ratio, and high-frequency FFT power ratio, and flags composite risk &gt;= 0.50. Suspicious-region localization evaluates patch-level absolute deviation from the image median across 16x16 patches. Uncertainty-aware abstention gates cases with confidence &lt; 0.40, entropy &gt; 0.75, or margin &lt; 0.10. Evidence retrieval returns comparable references (same specimen across acquisitions, cross-instrument, quality-compatible) and deterministic action suggestions.</w:t>
      </w:r>
    </w:p>
    <w:p>
      <w:pPr>
        <w:spacing w:before="120" w:after="40"/>
        <w:jc w:val="left"/>
      </w:pPr>
      <w:r>
        <w:rPr>
          <w:rFonts w:ascii="Times New Roman" w:hAnsi="Times New Roman"/>
          <w:i/>
          <w:sz w:val="20"/>
        </w:rPr>
        <w:t>D. Why Two Representations</w:t>
      </w:r>
    </w:p>
    <w:p>
      <w:pPr>
        <w:spacing w:after="80" w:before="0"/>
        <w:jc w:val="both"/>
      </w:pPr>
      <w:r>
        <w:rPr>
          <w:rFonts w:ascii="Times New Roman" w:hAnsi="Times New Roman"/>
          <w:b w:val="0"/>
          <w:i w:val="0"/>
          <w:sz w:val="20"/>
        </w:rPr>
        <w:t>Table I shows that adaptation helps cross-acquisition retrieval but weakens artifact discrimination: AUROC falls from 0.8582 to 0.8230 and macro-F1 from 0.6837 to 0.6323. A single representation would trade one capability for the other, so SCI-INTEL uses the frozen space for quality screening and the adapted space for retrieval.</w:t>
      </w:r>
    </w:p>
    <w:tbl>
      <w:tblPr>
        <w:tblW w:type="auto" w:w="0"/>
        <w:jc w:val="center"/>
        <w:tblLook w:firstColumn="1" w:firstRow="1" w:lastColumn="0" w:lastRow="0" w:noHBand="0" w:noVBand="1" w:val="04A0"/>
      </w:tblPr>
      <w:tblGrid>
        <w:gridCol w:w="2610"/>
        <w:gridCol w:w="2610"/>
        <w:gridCol w:w="2610"/>
        <w:gridCol w:w="2610"/>
      </w:tblGrid>
      <w:tr>
        <w:tc>
          <w:tcPr>
            <w:tcW w:type="dxa" w:w="2610"/>
            <w:shd w:fill="F1F5F9"/>
          </w:tcPr>
          <w:p>
            <w:pPr>
              <w:jc w:val="center"/>
            </w:pPr>
            <w:r>
              <w:rPr>
                <w:rFonts w:ascii="Times New Roman" w:hAnsi="Times New Roman"/>
                <w:b/>
                <w:sz w:val="16"/>
              </w:rPr>
              <w:t>Metric</w:t>
            </w:r>
          </w:p>
        </w:tc>
        <w:tc>
          <w:tcPr>
            <w:tcW w:type="dxa" w:w="2610"/>
            <w:shd w:fill="F1F5F9"/>
          </w:tcPr>
          <w:p>
            <w:pPr>
              <w:jc w:val="center"/>
            </w:pPr>
            <w:r>
              <w:rPr>
                <w:rFonts w:ascii="Times New Roman" w:hAnsi="Times New Roman"/>
                <w:b/>
                <w:sz w:val="16"/>
              </w:rPr>
              <w:t>Handcrafted</w:t>
            </w:r>
          </w:p>
        </w:tc>
        <w:tc>
          <w:tcPr>
            <w:tcW w:type="dxa" w:w="2610"/>
            <w:shd w:fill="F1F5F9"/>
          </w:tcPr>
          <w:p>
            <w:pPr>
              <w:jc w:val="center"/>
            </w:pPr>
            <w:r>
              <w:rPr>
                <w:rFonts w:ascii="Times New Roman" w:hAnsi="Times New Roman"/>
                <w:b/>
                <w:sz w:val="16"/>
              </w:rPr>
              <w:t>Frozen DINOv2</w:t>
            </w:r>
          </w:p>
        </w:tc>
        <w:tc>
          <w:tcPr>
            <w:tcW w:type="dxa" w:w="2610"/>
            <w:shd w:fill="F1F5F9"/>
          </w:tcPr>
          <w:p>
            <w:pPr>
              <w:jc w:val="center"/>
            </w:pPr>
            <w:r>
              <w:rPr>
                <w:rFonts w:ascii="Times New Roman" w:hAnsi="Times New Roman"/>
                <w:b/>
                <w:sz w:val="16"/>
              </w:rPr>
              <w:t>Adapted (3-seed)</w:t>
            </w:r>
          </w:p>
        </w:tc>
      </w:tr>
      <w:tr>
        <w:tc>
          <w:tcPr>
            <w:tcW w:type="dxa" w:w="2610"/>
          </w:tcPr>
          <w:p>
            <w:pPr>
              <w:jc w:val="left"/>
            </w:pPr>
            <w:r>
              <w:rPr>
                <w:rFonts w:ascii="Times New Roman" w:hAnsi="Times New Roman"/>
                <w:sz w:val="16"/>
              </w:rPr>
              <w:t>Retrieval R@5 (Protocol U)</w:t>
            </w:r>
          </w:p>
        </w:tc>
        <w:tc>
          <w:tcPr>
            <w:tcW w:type="dxa" w:w="2610"/>
          </w:tcPr>
          <w:p>
            <w:pPr>
              <w:jc w:val="center"/>
            </w:pPr>
            <w:r>
              <w:rPr>
                <w:rFonts w:ascii="Times New Roman" w:hAnsi="Times New Roman"/>
                <w:sz w:val="16"/>
              </w:rPr>
              <w:t>–</w:t>
            </w:r>
          </w:p>
        </w:tc>
        <w:tc>
          <w:tcPr>
            <w:tcW w:type="dxa" w:w="2610"/>
          </w:tcPr>
          <w:p>
            <w:pPr>
              <w:jc w:val="center"/>
            </w:pPr>
            <w:r>
              <w:rPr>
                <w:rFonts w:ascii="Times New Roman" w:hAnsi="Times New Roman"/>
                <w:sz w:val="16"/>
              </w:rPr>
              <w:t>0.9858</w:t>
            </w:r>
          </w:p>
        </w:tc>
        <w:tc>
          <w:tcPr>
            <w:tcW w:type="dxa" w:w="2610"/>
          </w:tcPr>
          <w:p>
            <w:pPr>
              <w:jc w:val="center"/>
            </w:pPr>
            <w:r>
              <w:rPr>
                <w:rFonts w:ascii="Times New Roman" w:hAnsi="Times New Roman"/>
                <w:sz w:val="16"/>
              </w:rPr>
              <w:t>0.9921</w:t>
            </w:r>
          </w:p>
        </w:tc>
      </w:tr>
      <w:tr>
        <w:tc>
          <w:tcPr>
            <w:tcW w:type="dxa" w:w="2610"/>
          </w:tcPr>
          <w:p>
            <w:pPr>
              <w:jc w:val="left"/>
            </w:pPr>
            <w:r>
              <w:rPr>
                <w:rFonts w:ascii="Times New Roman" w:hAnsi="Times New Roman"/>
                <w:sz w:val="16"/>
              </w:rPr>
              <w:t>Retrieval MRR (Protocol U)</w:t>
            </w:r>
          </w:p>
        </w:tc>
        <w:tc>
          <w:tcPr>
            <w:tcW w:type="dxa" w:w="2610"/>
          </w:tcPr>
          <w:p>
            <w:pPr>
              <w:jc w:val="center"/>
            </w:pPr>
            <w:r>
              <w:rPr>
                <w:rFonts w:ascii="Times New Roman" w:hAnsi="Times New Roman"/>
                <w:sz w:val="16"/>
              </w:rPr>
              <w:t>–</w:t>
            </w:r>
          </w:p>
        </w:tc>
        <w:tc>
          <w:tcPr>
            <w:tcW w:type="dxa" w:w="2610"/>
          </w:tcPr>
          <w:p>
            <w:pPr>
              <w:jc w:val="center"/>
            </w:pPr>
            <w:r>
              <w:rPr>
                <w:rFonts w:ascii="Times New Roman" w:hAnsi="Times New Roman"/>
                <w:sz w:val="16"/>
              </w:rPr>
              <w:t>0.5200</w:t>
            </w:r>
          </w:p>
        </w:tc>
        <w:tc>
          <w:tcPr>
            <w:tcW w:type="dxa" w:w="2610"/>
          </w:tcPr>
          <w:p>
            <w:pPr>
              <w:jc w:val="center"/>
            </w:pPr>
            <w:r>
              <w:rPr>
                <w:rFonts w:ascii="Times New Roman" w:hAnsi="Times New Roman"/>
                <w:sz w:val="16"/>
              </w:rPr>
              <w:t>0.5261</w:t>
            </w:r>
          </w:p>
        </w:tc>
      </w:tr>
      <w:tr>
        <w:tc>
          <w:tcPr>
            <w:tcW w:type="dxa" w:w="2610"/>
          </w:tcPr>
          <w:p>
            <w:pPr>
              <w:jc w:val="left"/>
            </w:pPr>
            <w:r>
              <w:rPr>
                <w:rFonts w:ascii="Times New Roman" w:hAnsi="Times New Roman"/>
                <w:sz w:val="16"/>
              </w:rPr>
              <w:t>Acquisition gap Delta (lower better)</w:t>
            </w:r>
          </w:p>
        </w:tc>
        <w:tc>
          <w:tcPr>
            <w:tcW w:type="dxa" w:w="2610"/>
          </w:tcPr>
          <w:p>
            <w:pPr>
              <w:jc w:val="center"/>
            </w:pPr>
            <w:r>
              <w:rPr>
                <w:rFonts w:ascii="Times New Roman" w:hAnsi="Times New Roman"/>
                <w:sz w:val="16"/>
              </w:rPr>
              <w:t>–</w:t>
            </w:r>
          </w:p>
        </w:tc>
        <w:tc>
          <w:tcPr>
            <w:tcW w:type="dxa" w:w="2610"/>
          </w:tcPr>
          <w:p>
            <w:pPr>
              <w:jc w:val="center"/>
            </w:pPr>
            <w:r>
              <w:rPr>
                <w:rFonts w:ascii="Times New Roman" w:hAnsi="Times New Roman"/>
                <w:sz w:val="16"/>
              </w:rPr>
              <w:t>0.2016</w:t>
            </w:r>
          </w:p>
        </w:tc>
        <w:tc>
          <w:tcPr>
            <w:tcW w:type="dxa" w:w="2610"/>
          </w:tcPr>
          <w:p>
            <w:pPr>
              <w:jc w:val="center"/>
            </w:pPr>
            <w:r>
              <w:rPr>
                <w:rFonts w:ascii="Times New Roman" w:hAnsi="Times New Roman"/>
                <w:sz w:val="16"/>
              </w:rPr>
              <w:t>0.0681</w:t>
            </w:r>
          </w:p>
        </w:tc>
      </w:tr>
      <w:tr>
        <w:tc>
          <w:tcPr>
            <w:tcW w:type="dxa" w:w="2610"/>
          </w:tcPr>
          <w:p>
            <w:pPr>
              <w:jc w:val="left"/>
            </w:pPr>
            <w:r>
              <w:rPr>
                <w:rFonts w:ascii="Times New Roman" w:hAnsi="Times New Roman"/>
                <w:sz w:val="16"/>
              </w:rPr>
              <w:t>Risk AUROC (binary)</w:t>
            </w:r>
          </w:p>
        </w:tc>
        <w:tc>
          <w:tcPr>
            <w:tcW w:type="dxa" w:w="2610"/>
          </w:tcPr>
          <w:p>
            <w:pPr>
              <w:jc w:val="center"/>
            </w:pPr>
            <w:r>
              <w:rPr>
                <w:rFonts w:ascii="Times New Roman" w:hAnsi="Times New Roman"/>
                <w:sz w:val="16"/>
              </w:rPr>
              <w:t>0.8281</w:t>
            </w:r>
          </w:p>
        </w:tc>
        <w:tc>
          <w:tcPr>
            <w:tcW w:type="dxa" w:w="2610"/>
          </w:tcPr>
          <w:p>
            <w:pPr>
              <w:jc w:val="center"/>
            </w:pPr>
            <w:r>
              <w:rPr>
                <w:rFonts w:ascii="Times New Roman" w:hAnsi="Times New Roman"/>
                <w:sz w:val="16"/>
              </w:rPr>
              <w:t>0.8582</w:t>
            </w:r>
          </w:p>
        </w:tc>
        <w:tc>
          <w:tcPr>
            <w:tcW w:type="dxa" w:w="2610"/>
          </w:tcPr>
          <w:p>
            <w:pPr>
              <w:jc w:val="center"/>
            </w:pPr>
            <w:r>
              <w:rPr>
                <w:rFonts w:ascii="Times New Roman" w:hAnsi="Times New Roman"/>
                <w:sz w:val="16"/>
              </w:rPr>
              <w:t>0.8230</w:t>
            </w:r>
          </w:p>
        </w:tc>
      </w:tr>
      <w:tr>
        <w:tc>
          <w:tcPr>
            <w:tcW w:type="dxa" w:w="2610"/>
          </w:tcPr>
          <w:p>
            <w:pPr>
              <w:jc w:val="left"/>
            </w:pPr>
            <w:r>
              <w:rPr>
                <w:rFonts w:ascii="Times New Roman" w:hAnsi="Times New Roman"/>
                <w:sz w:val="16"/>
              </w:rPr>
              <w:t>Risk AUPRC (binary)</w:t>
            </w:r>
          </w:p>
        </w:tc>
        <w:tc>
          <w:tcPr>
            <w:tcW w:type="dxa" w:w="2610"/>
          </w:tcPr>
          <w:p>
            <w:pPr>
              <w:jc w:val="center"/>
            </w:pPr>
            <w:r>
              <w:rPr>
                <w:rFonts w:ascii="Times New Roman" w:hAnsi="Times New Roman"/>
                <w:sz w:val="16"/>
              </w:rPr>
              <w:t>0.9808</w:t>
            </w:r>
          </w:p>
        </w:tc>
        <w:tc>
          <w:tcPr>
            <w:tcW w:type="dxa" w:w="2610"/>
          </w:tcPr>
          <w:p>
            <w:pPr>
              <w:jc w:val="center"/>
            </w:pPr>
            <w:r>
              <w:rPr>
                <w:rFonts w:ascii="Times New Roman" w:hAnsi="Times New Roman"/>
                <w:sz w:val="16"/>
              </w:rPr>
              <w:t>0.9841</w:t>
            </w:r>
          </w:p>
        </w:tc>
        <w:tc>
          <w:tcPr>
            <w:tcW w:type="dxa" w:w="2610"/>
          </w:tcPr>
          <w:p>
            <w:pPr>
              <w:jc w:val="center"/>
            </w:pPr>
            <w:r>
              <w:rPr>
                <w:rFonts w:ascii="Times New Roman" w:hAnsi="Times New Roman"/>
                <w:sz w:val="16"/>
              </w:rPr>
              <w:t>0.9792</w:t>
            </w:r>
          </w:p>
        </w:tc>
      </w:tr>
      <w:tr>
        <w:tc>
          <w:tcPr>
            <w:tcW w:type="dxa" w:w="2610"/>
          </w:tcPr>
          <w:p>
            <w:pPr>
              <w:jc w:val="left"/>
            </w:pPr>
            <w:r>
              <w:rPr>
                <w:rFonts w:ascii="Times New Roman" w:hAnsi="Times New Roman"/>
                <w:sz w:val="16"/>
              </w:rPr>
              <w:t>11-class macro-F1</w:t>
            </w:r>
          </w:p>
        </w:tc>
        <w:tc>
          <w:tcPr>
            <w:tcW w:type="dxa" w:w="2610"/>
          </w:tcPr>
          <w:p>
            <w:pPr>
              <w:jc w:val="center"/>
            </w:pPr>
            <w:r>
              <w:rPr>
                <w:rFonts w:ascii="Times New Roman" w:hAnsi="Times New Roman"/>
                <w:sz w:val="16"/>
              </w:rPr>
              <w:t>–</w:t>
            </w:r>
          </w:p>
        </w:tc>
        <w:tc>
          <w:tcPr>
            <w:tcW w:type="dxa" w:w="2610"/>
          </w:tcPr>
          <w:p>
            <w:pPr>
              <w:jc w:val="center"/>
            </w:pPr>
            <w:r>
              <w:rPr>
                <w:rFonts w:ascii="Times New Roman" w:hAnsi="Times New Roman"/>
                <w:sz w:val="16"/>
              </w:rPr>
              <w:t>0.6837</w:t>
            </w:r>
          </w:p>
        </w:tc>
        <w:tc>
          <w:tcPr>
            <w:tcW w:type="dxa" w:w="2610"/>
          </w:tcPr>
          <w:p>
            <w:pPr>
              <w:jc w:val="center"/>
            </w:pPr>
            <w:r>
              <w:rPr>
                <w:rFonts w:ascii="Times New Roman" w:hAnsi="Times New Roman"/>
                <w:sz w:val="16"/>
              </w:rPr>
              <w:t>0.6323</w:t>
            </w:r>
          </w:p>
        </w:tc>
      </w:tr>
      <w:tr>
        <w:tc>
          <w:tcPr>
            <w:tcW w:type="dxa" w:w="2610"/>
          </w:tcPr>
          <w:p>
            <w:pPr>
              <w:jc w:val="left"/>
            </w:pPr>
            <w:r>
              <w:rPr>
                <w:rFonts w:ascii="Times New Roman" w:hAnsi="Times New Roman"/>
                <w:sz w:val="16"/>
              </w:rPr>
              <w:t>11-class balanced accuracy</w:t>
            </w:r>
          </w:p>
        </w:tc>
        <w:tc>
          <w:tcPr>
            <w:tcW w:type="dxa" w:w="2610"/>
          </w:tcPr>
          <w:p>
            <w:pPr>
              <w:jc w:val="center"/>
            </w:pPr>
            <w:r>
              <w:rPr>
                <w:rFonts w:ascii="Times New Roman" w:hAnsi="Times New Roman"/>
                <w:sz w:val="16"/>
              </w:rPr>
              <w:t>–</w:t>
            </w:r>
          </w:p>
        </w:tc>
        <w:tc>
          <w:tcPr>
            <w:tcW w:type="dxa" w:w="2610"/>
          </w:tcPr>
          <w:p>
            <w:pPr>
              <w:jc w:val="center"/>
            </w:pPr>
            <w:r>
              <w:rPr>
                <w:rFonts w:ascii="Times New Roman" w:hAnsi="Times New Roman"/>
                <w:sz w:val="16"/>
              </w:rPr>
              <w:t>0.7036</w:t>
            </w:r>
          </w:p>
        </w:tc>
        <w:tc>
          <w:tcPr>
            <w:tcW w:type="dxa" w:w="2610"/>
          </w:tcPr>
          <w:p>
            <w:pPr>
              <w:jc w:val="center"/>
            </w:pPr>
            <w:r>
              <w:rPr>
                <w:rFonts w:ascii="Times New Roman" w:hAnsi="Times New Roman"/>
                <w:sz w:val="16"/>
              </w:rPr>
              <w:t>0.6645</w:t>
            </w:r>
          </w:p>
        </w:tc>
      </w:tr>
    </w:tbl>
    <w:p>
      <w:pPr>
        <w:spacing w:before="0" w:after="40"/>
      </w:pPr>
    </w:p>
    <w:p>
      <w:pPr>
        <w:spacing w:after="120" w:before="0"/>
        <w:jc w:val="center"/>
      </w:pPr>
      <w:r>
        <w:rPr>
          <w:rFonts w:ascii="Times New Roman" w:hAnsi="Times New Roman"/>
          <w:b w:val="0"/>
          <w:i w:val="0"/>
          <w:sz w:val="16"/>
        </w:rPr>
        <w:t>TABLE I: Representation Specialization Trade-off Matrix.</w:t>
      </w:r>
    </w:p>
    <w:p>
      <w:pPr>
        <w:spacing w:before="200" w:after="80"/>
        <w:jc w:val="center"/>
      </w:pPr>
      <w:r>
        <w:rPr>
          <w:rFonts w:ascii="Times New Roman" w:hAnsi="Times New Roman"/>
          <w:b/>
          <w:sz w:val="20"/>
        </w:rPr>
        <w:t>IV. EXPERIMENTAL SETUP</w:t>
      </w:r>
    </w:p>
    <w:p>
      <w:pPr>
        <w:spacing w:after="80" w:before="0"/>
        <w:jc w:val="both"/>
      </w:pPr>
      <w:r>
        <w:rPr>
          <w:rFonts w:ascii="Times New Roman" w:hAnsi="Times New Roman"/>
          <w:b w:val="0"/>
          <w:i w:val="0"/>
          <w:sz w:val="20"/>
        </w:rPr>
        <w:t>Data. Table II lists the 6,085 active micrographs. The HCCI split is instrument-disjoint (train: Helios; validation: VEGA3; test: Zeiss Gemini) with zero image, hash, or near-duplicate overlap, but the same three steel specimens (AsCast, Q980_0h_WC, Q980_9h_AC) occur in all splits; the task is therefore acquisition-robust same-specimen retrieval, not unseen-specimen generalization. Carinthia (100 images) serves a cross-domain novelty screen; BBBC021 [26] is used for ingestion and metadata profiling. HCCI and Carinthia are public Zenodo deposits [27, 28]. Larger collections, such as the nanoscience set [29], are catalogued in the repository.</w:t>
      </w:r>
    </w:p>
    <w:tbl>
      <w:tblPr>
        <w:tblW w:type="auto" w:w="0"/>
        <w:jc w:val="center"/>
        <w:tblLook w:firstColumn="1" w:firstRow="1" w:lastColumn="0" w:lastRow="0" w:noHBand="0" w:noVBand="1" w:val="04A0"/>
      </w:tblPr>
      <w:tblGrid>
        <w:gridCol w:w="2610"/>
        <w:gridCol w:w="2610"/>
        <w:gridCol w:w="2610"/>
        <w:gridCol w:w="2610"/>
      </w:tblGrid>
      <w:tr>
        <w:tc>
          <w:tcPr>
            <w:tcW w:type="dxa" w:w="2610"/>
            <w:shd w:fill="F1F5F9"/>
          </w:tcPr>
          <w:p>
            <w:pPr>
              <w:jc w:val="center"/>
            </w:pPr>
            <w:r>
              <w:rPr>
                <w:rFonts w:ascii="Times New Roman" w:hAnsi="Times New Roman"/>
                <w:b/>
                <w:sz w:val="16"/>
              </w:rPr>
              <w:t>Dataset</w:t>
            </w:r>
          </w:p>
        </w:tc>
        <w:tc>
          <w:tcPr>
            <w:tcW w:type="dxa" w:w="2610"/>
            <w:shd w:fill="F1F5F9"/>
          </w:tcPr>
          <w:p>
            <w:pPr>
              <w:jc w:val="center"/>
            </w:pPr>
            <w:r>
              <w:rPr>
                <w:rFonts w:ascii="Times New Roman" w:hAnsi="Times New Roman"/>
                <w:b/>
                <w:sz w:val="16"/>
              </w:rPr>
              <w:t>Images</w:t>
            </w:r>
          </w:p>
        </w:tc>
        <w:tc>
          <w:tcPr>
            <w:tcW w:type="dxa" w:w="2610"/>
            <w:shd w:fill="F1F5F9"/>
          </w:tcPr>
          <w:p>
            <w:pPr>
              <w:jc w:val="center"/>
            </w:pPr>
            <w:r>
              <w:rPr>
                <w:rFonts w:ascii="Times New Roman" w:hAnsi="Times New Roman"/>
                <w:b/>
                <w:sz w:val="16"/>
              </w:rPr>
              <w:t>Format</w:t>
            </w:r>
          </w:p>
        </w:tc>
        <w:tc>
          <w:tcPr>
            <w:tcW w:type="dxa" w:w="2610"/>
            <w:shd w:fill="F1F5F9"/>
          </w:tcPr>
          <w:p>
            <w:pPr>
              <w:jc w:val="center"/>
            </w:pPr>
            <w:r>
              <w:rPr>
                <w:rFonts w:ascii="Times New Roman" w:hAnsi="Times New Roman"/>
                <w:b/>
                <w:sz w:val="16"/>
              </w:rPr>
              <w:t>Role</w:t>
            </w:r>
          </w:p>
        </w:tc>
      </w:tr>
      <w:tr>
        <w:tc>
          <w:tcPr>
            <w:tcW w:type="dxa" w:w="2610"/>
          </w:tcPr>
          <w:p>
            <w:pPr>
              <w:jc w:val="left"/>
            </w:pPr>
            <w:r>
              <w:rPr>
                <w:rFonts w:ascii="Times New Roman" w:hAnsi="Times New Roman"/>
                <w:sz w:val="16"/>
              </w:rPr>
              <w:t>HCCI (SEM, cast iron)</w:t>
            </w:r>
          </w:p>
        </w:tc>
        <w:tc>
          <w:tcPr>
            <w:tcW w:type="dxa" w:w="2610"/>
          </w:tcPr>
          <w:p>
            <w:pPr>
              <w:jc w:val="center"/>
            </w:pPr>
            <w:r>
              <w:rPr>
                <w:rFonts w:ascii="Times New Roman" w:hAnsi="Times New Roman"/>
                <w:sz w:val="16"/>
              </w:rPr>
              <w:t>774</w:t>
            </w:r>
          </w:p>
        </w:tc>
        <w:tc>
          <w:tcPr>
            <w:tcW w:type="dxa" w:w="2610"/>
          </w:tcPr>
          <w:p>
            <w:pPr>
              <w:jc w:val="center"/>
            </w:pPr>
            <w:r>
              <w:rPr>
                <w:rFonts w:ascii="Times New Roman" w:hAnsi="Times New Roman"/>
                <w:sz w:val="16"/>
              </w:rPr>
              <w:t>PNG</w:t>
            </w:r>
          </w:p>
        </w:tc>
        <w:tc>
          <w:tcPr>
            <w:tcW w:type="dxa" w:w="2610"/>
          </w:tcPr>
          <w:p>
            <w:pPr>
              <w:jc w:val="center"/>
            </w:pPr>
            <w:r>
              <w:rPr>
                <w:rFonts w:ascii="Times New Roman" w:hAnsi="Times New Roman"/>
                <w:sz w:val="16"/>
              </w:rPr>
              <w:t>Retrieval &amp; synthetic benchmark</w:t>
            </w:r>
          </w:p>
        </w:tc>
      </w:tr>
      <w:tr>
        <w:tc>
          <w:tcPr>
            <w:tcW w:type="dxa" w:w="2610"/>
          </w:tcPr>
          <w:p>
            <w:pPr>
              <w:jc w:val="left"/>
            </w:pPr>
            <w:r>
              <w:rPr>
                <w:rFonts w:ascii="Times New Roman" w:hAnsi="Times New Roman"/>
                <w:sz w:val="16"/>
              </w:rPr>
              <w:t>Carinthia (SEM, wafer)</w:t>
            </w:r>
          </w:p>
        </w:tc>
        <w:tc>
          <w:tcPr>
            <w:tcW w:type="dxa" w:w="2610"/>
          </w:tcPr>
          <w:p>
            <w:pPr>
              <w:jc w:val="center"/>
            </w:pPr>
            <w:r>
              <w:rPr>
                <w:rFonts w:ascii="Times New Roman" w:hAnsi="Times New Roman"/>
                <w:sz w:val="16"/>
              </w:rPr>
              <w:t>4,591</w:t>
            </w:r>
          </w:p>
        </w:tc>
        <w:tc>
          <w:tcPr>
            <w:tcW w:type="dxa" w:w="2610"/>
          </w:tcPr>
          <w:p>
            <w:pPr>
              <w:jc w:val="center"/>
            </w:pPr>
            <w:r>
              <w:rPr>
                <w:rFonts w:ascii="Times New Roman" w:hAnsi="Times New Roman"/>
                <w:sz w:val="16"/>
              </w:rPr>
              <w:t>JPEG</w:t>
            </w:r>
          </w:p>
        </w:tc>
        <w:tc>
          <w:tcPr>
            <w:tcW w:type="dxa" w:w="2610"/>
          </w:tcPr>
          <w:p>
            <w:pPr>
              <w:jc w:val="center"/>
            </w:pPr>
            <w:r>
              <w:rPr>
                <w:rFonts w:ascii="Times New Roman" w:hAnsi="Times New Roman"/>
                <w:sz w:val="16"/>
              </w:rPr>
              <w:t>Cross-domain novelty screen</w:t>
            </w:r>
          </w:p>
        </w:tc>
      </w:tr>
      <w:tr>
        <w:tc>
          <w:tcPr>
            <w:tcW w:type="dxa" w:w="2610"/>
          </w:tcPr>
          <w:p>
            <w:pPr>
              <w:jc w:val="left"/>
            </w:pPr>
            <w:r>
              <w:rPr>
                <w:rFonts w:ascii="Times New Roman" w:hAnsi="Times New Roman"/>
                <w:sz w:val="16"/>
              </w:rPr>
              <w:t>BBBC021 (bioimage)</w:t>
            </w:r>
          </w:p>
        </w:tc>
        <w:tc>
          <w:tcPr>
            <w:tcW w:type="dxa" w:w="2610"/>
          </w:tcPr>
          <w:p>
            <w:pPr>
              <w:jc w:val="center"/>
            </w:pPr>
            <w:r>
              <w:rPr>
                <w:rFonts w:ascii="Times New Roman" w:hAnsi="Times New Roman"/>
                <w:sz w:val="16"/>
              </w:rPr>
              <w:t>720</w:t>
            </w:r>
          </w:p>
        </w:tc>
        <w:tc>
          <w:tcPr>
            <w:tcW w:type="dxa" w:w="2610"/>
          </w:tcPr>
          <w:p>
            <w:pPr>
              <w:jc w:val="center"/>
            </w:pPr>
            <w:r>
              <w:rPr>
                <w:rFonts w:ascii="Times New Roman" w:hAnsi="Times New Roman"/>
                <w:sz w:val="16"/>
              </w:rPr>
              <w:t>TIFF (16-bit)</w:t>
            </w:r>
          </w:p>
        </w:tc>
        <w:tc>
          <w:tcPr>
            <w:tcW w:type="dxa" w:w="2610"/>
          </w:tcPr>
          <w:p>
            <w:pPr>
              <w:jc w:val="center"/>
            </w:pPr>
            <w:r>
              <w:rPr>
                <w:rFonts w:ascii="Times New Roman" w:hAnsi="Times New Roman"/>
                <w:sz w:val="16"/>
              </w:rPr>
              <w:t>Ingestion &amp; metadata profiling</w:t>
            </w:r>
          </w:p>
        </w:tc>
      </w:tr>
      <w:tr>
        <w:tc>
          <w:tcPr>
            <w:tcW w:type="dxa" w:w="2610"/>
          </w:tcPr>
          <w:p>
            <w:pPr>
              <w:jc w:val="left"/>
            </w:pPr>
            <w:r>
              <w:rPr>
                <w:rFonts w:ascii="Times New Roman" w:hAnsi="Times New Roman"/>
                <w:sz w:val="16"/>
              </w:rPr>
              <w:t>Total Active Micrographs</w:t>
            </w:r>
          </w:p>
        </w:tc>
        <w:tc>
          <w:tcPr>
            <w:tcW w:type="dxa" w:w="2610"/>
          </w:tcPr>
          <w:p>
            <w:pPr>
              <w:jc w:val="center"/>
            </w:pPr>
            <w:r>
              <w:rPr>
                <w:rFonts w:ascii="Times New Roman" w:hAnsi="Times New Roman"/>
                <w:sz w:val="16"/>
              </w:rPr>
              <w:t>6,085</w:t>
            </w:r>
          </w:p>
        </w:tc>
        <w:tc>
          <w:tcPr>
            <w:tcW w:type="dxa" w:w="2610"/>
          </w:tcPr>
          <w:p>
            <w:pPr>
              <w:jc w:val="center"/>
            </w:pPr>
            <w:r>
              <w:rPr>
                <w:rFonts w:ascii="Times New Roman" w:hAnsi="Times New Roman"/>
                <w:sz w:val="16"/>
              </w:rPr>
              <w:t>Multi-format</w:t>
            </w:r>
          </w:p>
        </w:tc>
        <w:tc>
          <w:tcPr>
            <w:tcW w:type="dxa" w:w="2610"/>
          </w:tcPr>
          <w:p>
            <w:pPr>
              <w:jc w:val="center"/>
            </w:pPr>
            <w:r>
              <w:rPr>
                <w:rFonts w:ascii="Times New Roman" w:hAnsi="Times New Roman"/>
                <w:sz w:val="16"/>
              </w:rPr>
              <w:t>Authoritative benchmark cohort</w:t>
            </w:r>
          </w:p>
        </w:tc>
      </w:tr>
      <w:tr>
        <w:tc>
          <w:tcPr>
            <w:tcW w:type="dxa" w:w="2610"/>
          </w:tcPr>
          <w:p>
            <w:pPr>
              <w:jc w:val="left"/>
            </w:pPr>
            <w:r>
              <w:rPr>
                <w:rFonts w:ascii="Times New Roman" w:hAnsi="Times New Roman"/>
                <w:sz w:val="16"/>
              </w:rPr>
              <w:t>HCCI Train / Val / Test</w:t>
            </w:r>
          </w:p>
        </w:tc>
        <w:tc>
          <w:tcPr>
            <w:tcW w:type="dxa" w:w="2610"/>
          </w:tcPr>
          <w:p>
            <w:pPr>
              <w:jc w:val="center"/>
            </w:pPr>
            <w:r>
              <w:rPr>
                <w:rFonts w:ascii="Times New Roman" w:hAnsi="Times New Roman"/>
                <w:sz w:val="16"/>
              </w:rPr>
              <w:t>427 / 135 / 212</w:t>
            </w:r>
          </w:p>
        </w:tc>
        <w:tc>
          <w:tcPr>
            <w:tcW w:type="dxa" w:w="2610"/>
          </w:tcPr>
          <w:p>
            <w:pPr>
              <w:jc w:val="center"/>
            </w:pPr>
            <w:r>
              <w:rPr>
                <w:rFonts w:ascii="Times New Roman" w:hAnsi="Times New Roman"/>
                <w:sz w:val="16"/>
              </w:rPr>
              <w:t>PNG</w:t>
            </w:r>
          </w:p>
        </w:tc>
        <w:tc>
          <w:tcPr>
            <w:tcW w:type="dxa" w:w="2610"/>
          </w:tcPr>
          <w:p>
            <w:pPr>
              <w:jc w:val="center"/>
            </w:pPr>
            <w:r>
              <w:rPr>
                <w:rFonts w:ascii="Times New Roman" w:hAnsi="Times New Roman"/>
                <w:sz w:val="16"/>
              </w:rPr>
              <w:t>Instrument-disjoint split (3 alloys shared)</w:t>
            </w:r>
          </w:p>
        </w:tc>
      </w:tr>
    </w:tbl>
    <w:p>
      <w:pPr>
        <w:spacing w:before="0" w:after="40"/>
      </w:pPr>
    </w:p>
    <w:p>
      <w:pPr>
        <w:spacing w:after="120" w:before="0"/>
        <w:jc w:val="center"/>
      </w:pPr>
      <w:r>
        <w:rPr>
          <w:rFonts w:ascii="Times New Roman" w:hAnsi="Times New Roman"/>
          <w:b w:val="0"/>
          <w:i w:val="0"/>
          <w:sz w:val="16"/>
        </w:rPr>
        <w:t>TABLE II: Active Repository Datasets &amp; Instrument Partitions.</w:t>
      </w:r>
    </w:p>
    <w:p>
      <w:pPr>
        <w:spacing w:after="80" w:before="0"/>
        <w:jc w:val="both"/>
      </w:pPr>
      <w:r>
        <w:rPr>
          <w:rFonts w:ascii="Times New Roman" w:hAnsi="Times New Roman"/>
          <w:b w:val="0"/>
          <w:i w:val="0"/>
          <w:sz w:val="20"/>
        </w:rPr>
        <w:t>Retrieval protocol (Protocol U, unmasked distractors). Each of the 212 test images is a query against the other 211 test images. A candidate is relevant iff it shows the same specimen, a different acquisition condition, and a pHash Hamming distance &gt; 3 from the query. Same-acquisition peers stay in the gallery as non-relevant distractors. Quality benchmark: controlled degradation of 250 HCCI parent images yields 2,750 images in 11 categories (1,100 test images: 100 normal, 1,000 risk). Localization evaluates 500 images with synthetic masks (100 per category).</w:t>
      </w:r>
    </w:p>
    <w:p>
      <w:pPr>
        <w:spacing w:before="200" w:after="80"/>
        <w:jc w:val="center"/>
      </w:pPr>
      <w:r>
        <w:rPr>
          <w:rFonts w:ascii="Times New Roman" w:hAnsi="Times New Roman"/>
          <w:b/>
          <w:sz w:val="20"/>
        </w:rPr>
        <w:t>V. RESULTS AND DISCUSSION</w:t>
      </w:r>
    </w:p>
    <w:p>
      <w:pPr>
        <w:spacing w:before="120" w:after="40"/>
        <w:jc w:val="left"/>
      </w:pPr>
      <w:r>
        <w:rPr>
          <w:rFonts w:ascii="Times New Roman" w:hAnsi="Times New Roman"/>
          <w:i/>
          <w:sz w:val="20"/>
        </w:rPr>
        <w:t>A. Acquisition Gap (Claim 1)</w:t>
      </w:r>
    </w:p>
    <w:p>
      <w:pPr>
        <w:spacing w:after="80" w:before="0"/>
        <w:jc w:val="both"/>
      </w:pPr>
      <w:r>
        <w:rPr>
          <w:rFonts w:ascii="Times New Roman" w:hAnsi="Times New Roman"/>
          <w:b w:val="0"/>
          <w:i w:val="0"/>
          <w:sz w:val="20"/>
        </w:rPr>
        <w:t>Table III shows that the adapter raises both within- and cross-acquisition similarity but raises the cross term more, shrinking Delta from 0.2016 to 0.0681 (3-seed mean; 95% CI [0.0606, 0.0713]), an R_Delta of 66.23% (CI [65.72%, 67.19%]); query-level reduction is 66.40%. The paired test over 210 queries gives p = 5.03x10^-36 and dz = 2.19; per-seed reductions are 60.76%, 70.35%, and 67.57%. The adapted space compresses similarities overall (cross-acquisition mean 0.8404), so the result should be read as a reduction of the observed gap under this protocol, not universal acquisition invariance.</w:t>
      </w:r>
    </w:p>
    <w:tbl>
      <w:tblPr>
        <w:tblW w:type="auto" w:w="0"/>
        <w:jc w:val="center"/>
        <w:tblLook w:firstColumn="1" w:firstRow="1" w:lastColumn="0" w:lastRow="0" w:noHBand="0" w:noVBand="1" w:val="04A0"/>
      </w:tblPr>
      <w:tblGrid>
        <w:gridCol w:w="1740"/>
        <w:gridCol w:w="1740"/>
        <w:gridCol w:w="1740"/>
        <w:gridCol w:w="1740"/>
        <w:gridCol w:w="1740"/>
        <w:gridCol w:w="1740"/>
      </w:tblGrid>
      <w:tr>
        <w:tc>
          <w:tcPr>
            <w:tcW w:type="dxa" w:w="1740"/>
            <w:shd w:fill="F1F5F9"/>
          </w:tcPr>
          <w:p>
            <w:pPr>
              <w:jc w:val="center"/>
            </w:pPr>
            <w:r>
              <w:rPr>
                <w:rFonts w:ascii="Times New Roman" w:hAnsi="Times New Roman"/>
                <w:b/>
                <w:sz w:val="16"/>
              </w:rPr>
              <w:t>Representation</w:t>
            </w:r>
          </w:p>
        </w:tc>
        <w:tc>
          <w:tcPr>
            <w:tcW w:type="dxa" w:w="1740"/>
            <w:shd w:fill="F1F5F9"/>
          </w:tcPr>
          <w:p>
            <w:pPr>
              <w:jc w:val="center"/>
            </w:pPr>
            <w:r>
              <w:rPr>
                <w:rFonts w:ascii="Times New Roman" w:hAnsi="Times New Roman"/>
                <w:b/>
                <w:sz w:val="16"/>
              </w:rPr>
              <w:t>Within</w:t>
            </w:r>
          </w:p>
        </w:tc>
        <w:tc>
          <w:tcPr>
            <w:tcW w:type="dxa" w:w="1740"/>
            <w:shd w:fill="F1F5F9"/>
          </w:tcPr>
          <w:p>
            <w:pPr>
              <w:jc w:val="center"/>
            </w:pPr>
            <w:r>
              <w:rPr>
                <w:rFonts w:ascii="Times New Roman" w:hAnsi="Times New Roman"/>
                <w:b/>
                <w:sz w:val="16"/>
              </w:rPr>
              <w:t>Cross</w:t>
            </w:r>
          </w:p>
        </w:tc>
        <w:tc>
          <w:tcPr>
            <w:tcW w:type="dxa" w:w="1740"/>
            <w:shd w:fill="F1F5F9"/>
          </w:tcPr>
          <w:p>
            <w:pPr>
              <w:jc w:val="center"/>
            </w:pPr>
            <w:r>
              <w:rPr>
                <w:rFonts w:ascii="Times New Roman" w:hAnsi="Times New Roman"/>
                <w:b/>
                <w:sz w:val="16"/>
              </w:rPr>
              <w:t>Gap Delta [95% CI]</w:t>
            </w:r>
          </w:p>
        </w:tc>
        <w:tc>
          <w:tcPr>
            <w:tcW w:type="dxa" w:w="1740"/>
            <w:shd w:fill="F1F5F9"/>
          </w:tcPr>
          <w:p>
            <w:pPr>
              <w:jc w:val="center"/>
            </w:pPr>
            <w:r>
              <w:rPr>
                <w:rFonts w:ascii="Times New Roman" w:hAnsi="Times New Roman"/>
                <w:b/>
                <w:sz w:val="16"/>
              </w:rPr>
              <w:t>Red. (%)</w:t>
            </w:r>
          </w:p>
        </w:tc>
        <w:tc>
          <w:tcPr>
            <w:tcW w:type="dxa" w:w="1740"/>
            <w:shd w:fill="F1F5F9"/>
          </w:tcPr>
          <w:p>
            <w:pPr>
              <w:jc w:val="center"/>
            </w:pPr>
            <w:r>
              <w:rPr>
                <w:rFonts w:ascii="Times New Roman" w:hAnsi="Times New Roman"/>
                <w:b/>
                <w:sz w:val="16"/>
              </w:rPr>
              <w:t>dz</w:t>
            </w:r>
          </w:p>
        </w:tc>
      </w:tr>
      <w:tr>
        <w:tc>
          <w:tcPr>
            <w:tcW w:type="dxa" w:w="1740"/>
          </w:tcPr>
          <w:p>
            <w:pPr>
              <w:jc w:val="left"/>
            </w:pPr>
            <w:r>
              <w:rPr>
                <w:rFonts w:ascii="Times New Roman" w:hAnsi="Times New Roman"/>
                <w:sz w:val="16"/>
              </w:rPr>
              <w:t>Frozen DINOv2</w:t>
            </w:r>
          </w:p>
        </w:tc>
        <w:tc>
          <w:tcPr>
            <w:tcW w:type="dxa" w:w="1740"/>
          </w:tcPr>
          <w:p>
            <w:pPr>
              <w:jc w:val="center"/>
            </w:pPr>
            <w:r>
              <w:rPr>
                <w:rFonts w:ascii="Times New Roman" w:hAnsi="Times New Roman"/>
                <w:sz w:val="16"/>
              </w:rPr>
              <w:t>0.7811</w:t>
            </w:r>
          </w:p>
        </w:tc>
        <w:tc>
          <w:tcPr>
            <w:tcW w:type="dxa" w:w="1740"/>
          </w:tcPr>
          <w:p>
            <w:pPr>
              <w:jc w:val="center"/>
            </w:pPr>
            <w:r>
              <w:rPr>
                <w:rFonts w:ascii="Times New Roman" w:hAnsi="Times New Roman"/>
                <w:sz w:val="16"/>
              </w:rPr>
              <w:t>0.5794</w:t>
            </w:r>
          </w:p>
        </w:tc>
        <w:tc>
          <w:tcPr>
            <w:tcW w:type="dxa" w:w="1740"/>
          </w:tcPr>
          <w:p>
            <w:pPr>
              <w:jc w:val="center"/>
            </w:pPr>
            <w:r>
              <w:rPr>
                <w:rFonts w:ascii="Times New Roman" w:hAnsi="Times New Roman"/>
                <w:sz w:val="16"/>
              </w:rPr>
              <w:t>0.2016 [0.1833, 0.2096]</w:t>
            </w:r>
          </w:p>
        </w:tc>
        <w:tc>
          <w:tcPr>
            <w:tcW w:type="dxa" w:w="1740"/>
          </w:tcPr>
          <w:p>
            <w:pPr>
              <w:jc w:val="center"/>
            </w:pPr>
            <w:r>
              <w:rPr>
                <w:rFonts w:ascii="Times New Roman" w:hAnsi="Times New Roman"/>
                <w:sz w:val="16"/>
              </w:rPr>
              <w:t>–</w:t>
            </w:r>
          </w:p>
        </w:tc>
        <w:tc>
          <w:tcPr>
            <w:tcW w:type="dxa" w:w="1740"/>
          </w:tcPr>
          <w:p>
            <w:pPr>
              <w:jc w:val="center"/>
            </w:pPr>
            <w:r>
              <w:rPr>
                <w:rFonts w:ascii="Times New Roman" w:hAnsi="Times New Roman"/>
                <w:sz w:val="16"/>
              </w:rPr>
              <w:t>–</w:t>
            </w:r>
          </w:p>
        </w:tc>
      </w:tr>
      <w:tr>
        <w:tc>
          <w:tcPr>
            <w:tcW w:type="dxa" w:w="1740"/>
          </w:tcPr>
          <w:p>
            <w:pPr>
              <w:jc w:val="left"/>
            </w:pPr>
            <w:r>
              <w:rPr>
                <w:rFonts w:ascii="Times New Roman" w:hAnsi="Times New Roman"/>
                <w:sz w:val="16"/>
              </w:rPr>
              <w:t>Adapter, seed 42</w:t>
            </w:r>
          </w:p>
        </w:tc>
        <w:tc>
          <w:tcPr>
            <w:tcW w:type="dxa" w:w="1740"/>
          </w:tcPr>
          <w:p>
            <w:pPr>
              <w:jc w:val="center"/>
            </w:pPr>
            <w:r>
              <w:rPr>
                <w:rFonts w:ascii="Times New Roman" w:hAnsi="Times New Roman"/>
                <w:sz w:val="16"/>
              </w:rPr>
              <w:t>0.9055</w:t>
            </w:r>
          </w:p>
        </w:tc>
        <w:tc>
          <w:tcPr>
            <w:tcW w:type="dxa" w:w="1740"/>
          </w:tcPr>
          <w:p>
            <w:pPr>
              <w:jc w:val="center"/>
            </w:pPr>
            <w:r>
              <w:rPr>
                <w:rFonts w:ascii="Times New Roman" w:hAnsi="Times New Roman"/>
                <w:sz w:val="16"/>
              </w:rPr>
              <w:t>0.8263</w:t>
            </w:r>
          </w:p>
        </w:tc>
        <w:tc>
          <w:tcPr>
            <w:tcW w:type="dxa" w:w="1740"/>
          </w:tcPr>
          <w:p>
            <w:pPr>
              <w:jc w:val="center"/>
            </w:pPr>
            <w:r>
              <w:rPr>
                <w:rFonts w:ascii="Times New Roman" w:hAnsi="Times New Roman"/>
                <w:sz w:val="16"/>
              </w:rPr>
              <w:t>0.0791 [0.0713, 0.0823]</w:t>
            </w:r>
          </w:p>
        </w:tc>
        <w:tc>
          <w:tcPr>
            <w:tcW w:type="dxa" w:w="1740"/>
          </w:tcPr>
          <w:p>
            <w:pPr>
              <w:jc w:val="center"/>
            </w:pPr>
            <w:r>
              <w:rPr>
                <w:rFonts w:ascii="Times New Roman" w:hAnsi="Times New Roman"/>
                <w:sz w:val="16"/>
              </w:rPr>
              <w:t>60.76</w:t>
            </w:r>
          </w:p>
        </w:tc>
        <w:tc>
          <w:tcPr>
            <w:tcW w:type="dxa" w:w="1740"/>
          </w:tcPr>
          <w:p>
            <w:pPr>
              <w:jc w:val="center"/>
            </w:pPr>
            <w:r>
              <w:rPr>
                <w:rFonts w:ascii="Times New Roman" w:hAnsi="Times New Roman"/>
                <w:sz w:val="16"/>
              </w:rPr>
              <w:t>2.07</w:t>
            </w:r>
          </w:p>
        </w:tc>
      </w:tr>
      <w:tr>
        <w:tc>
          <w:tcPr>
            <w:tcW w:type="dxa" w:w="1740"/>
          </w:tcPr>
          <w:p>
            <w:pPr>
              <w:jc w:val="left"/>
            </w:pPr>
            <w:r>
              <w:rPr>
                <w:rFonts w:ascii="Times New Roman" w:hAnsi="Times New Roman"/>
                <w:sz w:val="16"/>
              </w:rPr>
              <w:t>Adapter, seed 123</w:t>
            </w:r>
          </w:p>
        </w:tc>
        <w:tc>
          <w:tcPr>
            <w:tcW w:type="dxa" w:w="1740"/>
          </w:tcPr>
          <w:p>
            <w:pPr>
              <w:jc w:val="center"/>
            </w:pPr>
            <w:r>
              <w:rPr>
                <w:rFonts w:ascii="Times New Roman" w:hAnsi="Times New Roman"/>
                <w:sz w:val="16"/>
              </w:rPr>
              <w:t>0.9129</w:t>
            </w:r>
          </w:p>
        </w:tc>
        <w:tc>
          <w:tcPr>
            <w:tcW w:type="dxa" w:w="1740"/>
          </w:tcPr>
          <w:p>
            <w:pPr>
              <w:jc w:val="center"/>
            </w:pPr>
            <w:r>
              <w:rPr>
                <w:rFonts w:ascii="Times New Roman" w:hAnsi="Times New Roman"/>
                <w:sz w:val="16"/>
              </w:rPr>
              <w:t>0.8531</w:t>
            </w:r>
          </w:p>
        </w:tc>
        <w:tc>
          <w:tcPr>
            <w:tcW w:type="dxa" w:w="1740"/>
          </w:tcPr>
          <w:p>
            <w:pPr>
              <w:jc w:val="center"/>
            </w:pPr>
            <w:r>
              <w:rPr>
                <w:rFonts w:ascii="Times New Roman" w:hAnsi="Times New Roman"/>
                <w:sz w:val="16"/>
              </w:rPr>
              <w:t>0.0598 [0.0530, 0.0631]</w:t>
            </w:r>
          </w:p>
        </w:tc>
        <w:tc>
          <w:tcPr>
            <w:tcW w:type="dxa" w:w="1740"/>
          </w:tcPr>
          <w:p>
            <w:pPr>
              <w:jc w:val="center"/>
            </w:pPr>
            <w:r>
              <w:rPr>
                <w:rFonts w:ascii="Times New Roman" w:hAnsi="Times New Roman"/>
                <w:sz w:val="16"/>
              </w:rPr>
              <w:t>70.35</w:t>
            </w:r>
          </w:p>
        </w:tc>
        <w:tc>
          <w:tcPr>
            <w:tcW w:type="dxa" w:w="1740"/>
          </w:tcPr>
          <w:p>
            <w:pPr>
              <w:jc w:val="center"/>
            </w:pPr>
            <w:r>
              <w:rPr>
                <w:rFonts w:ascii="Times New Roman" w:hAnsi="Times New Roman"/>
                <w:sz w:val="16"/>
              </w:rPr>
              <w:t>2.19</w:t>
            </w:r>
          </w:p>
        </w:tc>
      </w:tr>
      <w:tr>
        <w:tc>
          <w:tcPr>
            <w:tcW w:type="dxa" w:w="1740"/>
          </w:tcPr>
          <w:p>
            <w:pPr>
              <w:jc w:val="left"/>
            </w:pPr>
            <w:r>
              <w:rPr>
                <w:rFonts w:ascii="Times New Roman" w:hAnsi="Times New Roman"/>
                <w:sz w:val="16"/>
              </w:rPr>
              <w:t>Adapter, seed 2024</w:t>
            </w:r>
          </w:p>
        </w:tc>
        <w:tc>
          <w:tcPr>
            <w:tcW w:type="dxa" w:w="1740"/>
          </w:tcPr>
          <w:p>
            <w:pPr>
              <w:jc w:val="center"/>
            </w:pPr>
            <w:r>
              <w:rPr>
                <w:rFonts w:ascii="Times New Roman" w:hAnsi="Times New Roman"/>
                <w:sz w:val="16"/>
              </w:rPr>
              <w:t>0.9071</w:t>
            </w:r>
          </w:p>
        </w:tc>
        <w:tc>
          <w:tcPr>
            <w:tcW w:type="dxa" w:w="1740"/>
          </w:tcPr>
          <w:p>
            <w:pPr>
              <w:jc w:val="center"/>
            </w:pPr>
            <w:r>
              <w:rPr>
                <w:rFonts w:ascii="Times New Roman" w:hAnsi="Times New Roman"/>
                <w:sz w:val="16"/>
              </w:rPr>
              <w:t>0.8417</w:t>
            </w:r>
          </w:p>
        </w:tc>
        <w:tc>
          <w:tcPr>
            <w:tcW w:type="dxa" w:w="1740"/>
          </w:tcPr>
          <w:p>
            <w:pPr>
              <w:jc w:val="center"/>
            </w:pPr>
            <w:r>
              <w:rPr>
                <w:rFonts w:ascii="Times New Roman" w:hAnsi="Times New Roman"/>
                <w:sz w:val="16"/>
              </w:rPr>
              <w:t>0.0654 [0.0574, 0.0686]</w:t>
            </w:r>
          </w:p>
        </w:tc>
        <w:tc>
          <w:tcPr>
            <w:tcW w:type="dxa" w:w="1740"/>
          </w:tcPr>
          <w:p>
            <w:pPr>
              <w:jc w:val="center"/>
            </w:pPr>
            <w:r>
              <w:rPr>
                <w:rFonts w:ascii="Times New Roman" w:hAnsi="Times New Roman"/>
                <w:sz w:val="16"/>
              </w:rPr>
              <w:t>67.57</w:t>
            </w:r>
          </w:p>
        </w:tc>
        <w:tc>
          <w:tcPr>
            <w:tcW w:type="dxa" w:w="1740"/>
          </w:tcPr>
          <w:p>
            <w:pPr>
              <w:jc w:val="center"/>
            </w:pPr>
            <w:r>
              <w:rPr>
                <w:rFonts w:ascii="Times New Roman" w:hAnsi="Times New Roman"/>
                <w:sz w:val="16"/>
              </w:rPr>
              <w:t>2.26</w:t>
            </w:r>
          </w:p>
        </w:tc>
      </w:tr>
      <w:tr>
        <w:tc>
          <w:tcPr>
            <w:tcW w:type="dxa" w:w="1740"/>
          </w:tcPr>
          <w:p>
            <w:pPr>
              <w:jc w:val="left"/>
            </w:pPr>
            <w:r>
              <w:rPr>
                <w:rFonts w:ascii="Times New Roman" w:hAnsi="Times New Roman"/>
                <w:sz w:val="16"/>
              </w:rPr>
              <w:t>Adapter, 3-seed mean</w:t>
            </w:r>
          </w:p>
        </w:tc>
        <w:tc>
          <w:tcPr>
            <w:tcW w:type="dxa" w:w="1740"/>
          </w:tcPr>
          <w:p>
            <w:pPr>
              <w:jc w:val="center"/>
            </w:pPr>
            <w:r>
              <w:rPr>
                <w:rFonts w:ascii="Times New Roman" w:hAnsi="Times New Roman"/>
                <w:sz w:val="16"/>
              </w:rPr>
              <w:t>0.9085</w:t>
            </w:r>
          </w:p>
        </w:tc>
        <w:tc>
          <w:tcPr>
            <w:tcW w:type="dxa" w:w="1740"/>
          </w:tcPr>
          <w:p>
            <w:pPr>
              <w:jc w:val="center"/>
            </w:pPr>
            <w:r>
              <w:rPr>
                <w:rFonts w:ascii="Times New Roman" w:hAnsi="Times New Roman"/>
                <w:sz w:val="16"/>
              </w:rPr>
              <w:t>0.8404</w:t>
            </w:r>
          </w:p>
        </w:tc>
        <w:tc>
          <w:tcPr>
            <w:tcW w:type="dxa" w:w="1740"/>
          </w:tcPr>
          <w:p>
            <w:pPr>
              <w:jc w:val="center"/>
            </w:pPr>
            <w:r>
              <w:rPr>
                <w:rFonts w:ascii="Times New Roman" w:hAnsi="Times New Roman"/>
                <w:sz w:val="16"/>
              </w:rPr>
              <w:t>0.0681 [0.0606, 0.0713]</w:t>
            </w:r>
          </w:p>
        </w:tc>
        <w:tc>
          <w:tcPr>
            <w:tcW w:type="dxa" w:w="1740"/>
          </w:tcPr>
          <w:p>
            <w:pPr>
              <w:jc w:val="center"/>
            </w:pPr>
            <w:r>
              <w:rPr>
                <w:rFonts w:ascii="Times New Roman" w:hAnsi="Times New Roman"/>
                <w:sz w:val="16"/>
              </w:rPr>
              <w:t>66.23</w:t>
            </w:r>
          </w:p>
        </w:tc>
        <w:tc>
          <w:tcPr>
            <w:tcW w:type="dxa" w:w="1740"/>
          </w:tcPr>
          <w:p>
            <w:pPr>
              <w:jc w:val="center"/>
            </w:pPr>
            <w:r>
              <w:rPr>
                <w:rFonts w:ascii="Times New Roman" w:hAnsi="Times New Roman"/>
                <w:sz w:val="16"/>
              </w:rPr>
              <w:t>2.19</w:t>
            </w:r>
          </w:p>
        </w:tc>
      </w:tr>
    </w:tbl>
    <w:p>
      <w:pPr>
        <w:spacing w:before="0" w:after="40"/>
      </w:pPr>
    </w:p>
    <w:p>
      <w:pPr>
        <w:spacing w:after="120" w:before="0"/>
        <w:jc w:val="center"/>
      </w:pPr>
      <w:r>
        <w:rPr>
          <w:rFonts w:ascii="Times New Roman" w:hAnsi="Times New Roman"/>
          <w:b w:val="0"/>
          <w:i w:val="0"/>
          <w:sz w:val="16"/>
        </w:rPr>
        <w:t>TABLE III: Acquisition-Geometry Gap Analysis (210 Paired Queries).</w:t>
      </w:r>
    </w:p>
    <w:p>
      <w:pPr>
        <w:spacing w:before="120" w:after="40"/>
        <w:jc w:val="left"/>
      </w:pPr>
      <w:r>
        <w:rPr>
          <w:rFonts w:ascii="Times New Roman" w:hAnsi="Times New Roman"/>
          <w:i/>
          <w:sz w:val="20"/>
        </w:rPr>
        <w:t>B. Cross-Instrument Retrieval (Claim 2)</w:t>
      </w:r>
    </w:p>
    <w:p>
      <w:pPr>
        <w:spacing w:after="80" w:before="0"/>
        <w:jc w:val="both"/>
      </w:pPr>
      <w:r>
        <w:rPr>
          <w:rFonts w:ascii="Times New Roman" w:hAnsi="Times New Roman"/>
          <w:b w:val="0"/>
          <w:i w:val="0"/>
          <w:sz w:val="20"/>
        </w:rPr>
        <w:t>Table IV reports Protocol U. The 3-seed adapter mean reaches R@1 0.1447, R@5 0.9921, and MRR 0.5261, versus 0.1321, 0.9858, and 0.5200 for frozen DINOv2. Two caveats apply: with three specimen classes R@5 is near ceiling for all deep models, and R@1 is low because of same-acquisition distractors. pHash attains the highest P@5 (0.6736), partly because the relevance rule itself uses a pHash threshold; hashing baselines are not independent of the labels.</w:t>
      </w:r>
    </w:p>
    <w:tbl>
      <w:tblPr>
        <w:tblW w:type="auto" w:w="0"/>
        <w:jc w:val="center"/>
        <w:tblLook w:firstColumn="1" w:firstRow="1" w:lastColumn="0" w:lastRow="0" w:noHBand="0" w:noVBand="1" w:val="04A0"/>
      </w:tblPr>
      <w:tblGrid>
        <w:gridCol w:w="1740"/>
        <w:gridCol w:w="1740"/>
        <w:gridCol w:w="1740"/>
        <w:gridCol w:w="1740"/>
        <w:gridCol w:w="1740"/>
        <w:gridCol w:w="1740"/>
      </w:tblGrid>
      <w:tr>
        <w:tc>
          <w:tcPr>
            <w:tcW w:type="dxa" w:w="1740"/>
            <w:shd w:fill="F1F5F9"/>
          </w:tcPr>
          <w:p>
            <w:pPr>
              <w:jc w:val="center"/>
            </w:pPr>
            <w:r>
              <w:rPr>
                <w:rFonts w:ascii="Times New Roman" w:hAnsi="Times New Roman"/>
                <w:b/>
                <w:sz w:val="16"/>
              </w:rPr>
              <w:t>Method</w:t>
            </w:r>
          </w:p>
        </w:tc>
        <w:tc>
          <w:tcPr>
            <w:tcW w:type="dxa" w:w="1740"/>
            <w:shd w:fill="F1F5F9"/>
          </w:tcPr>
          <w:p>
            <w:pPr>
              <w:jc w:val="center"/>
            </w:pPr>
            <w:r>
              <w:rPr>
                <w:rFonts w:ascii="Times New Roman" w:hAnsi="Times New Roman"/>
                <w:b/>
                <w:sz w:val="16"/>
              </w:rPr>
              <w:t>R@1</w:t>
            </w:r>
          </w:p>
        </w:tc>
        <w:tc>
          <w:tcPr>
            <w:tcW w:type="dxa" w:w="1740"/>
            <w:shd w:fill="F1F5F9"/>
          </w:tcPr>
          <w:p>
            <w:pPr>
              <w:jc w:val="center"/>
            </w:pPr>
            <w:r>
              <w:rPr>
                <w:rFonts w:ascii="Times New Roman" w:hAnsi="Times New Roman"/>
                <w:b/>
                <w:sz w:val="16"/>
              </w:rPr>
              <w:t>R@5</w:t>
            </w:r>
          </w:p>
        </w:tc>
        <w:tc>
          <w:tcPr>
            <w:tcW w:type="dxa" w:w="1740"/>
            <w:shd w:fill="F1F5F9"/>
          </w:tcPr>
          <w:p>
            <w:pPr>
              <w:jc w:val="center"/>
            </w:pPr>
            <w:r>
              <w:rPr>
                <w:rFonts w:ascii="Times New Roman" w:hAnsi="Times New Roman"/>
                <w:b/>
                <w:sz w:val="16"/>
              </w:rPr>
              <w:t>R@10</w:t>
            </w:r>
          </w:p>
        </w:tc>
        <w:tc>
          <w:tcPr>
            <w:tcW w:type="dxa" w:w="1740"/>
            <w:shd w:fill="F1F5F9"/>
          </w:tcPr>
          <w:p>
            <w:pPr>
              <w:jc w:val="center"/>
            </w:pPr>
            <w:r>
              <w:rPr>
                <w:rFonts w:ascii="Times New Roman" w:hAnsi="Times New Roman"/>
                <w:b/>
                <w:sz w:val="16"/>
              </w:rPr>
              <w:t>MRR</w:t>
            </w:r>
          </w:p>
        </w:tc>
        <w:tc>
          <w:tcPr>
            <w:tcW w:type="dxa" w:w="1740"/>
            <w:shd w:fill="F1F5F9"/>
          </w:tcPr>
          <w:p>
            <w:pPr>
              <w:jc w:val="center"/>
            </w:pPr>
            <w:r>
              <w:rPr>
                <w:rFonts w:ascii="Times New Roman" w:hAnsi="Times New Roman"/>
                <w:b/>
                <w:sz w:val="16"/>
              </w:rPr>
              <w:t>P@5</w:t>
            </w:r>
          </w:p>
        </w:tc>
      </w:tr>
      <w:tr>
        <w:tc>
          <w:tcPr>
            <w:tcW w:type="dxa" w:w="1740"/>
          </w:tcPr>
          <w:p>
            <w:pPr>
              <w:jc w:val="left"/>
            </w:pPr>
            <w:r>
              <w:rPr>
                <w:rFonts w:ascii="Times New Roman" w:hAnsi="Times New Roman"/>
                <w:sz w:val="16"/>
              </w:rPr>
              <w:t>pHash-64</w:t>
            </w:r>
          </w:p>
        </w:tc>
        <w:tc>
          <w:tcPr>
            <w:tcW w:type="dxa" w:w="1740"/>
          </w:tcPr>
          <w:p>
            <w:pPr>
              <w:jc w:val="center"/>
            </w:pPr>
            <w:r>
              <w:rPr>
                <w:rFonts w:ascii="Times New Roman" w:hAnsi="Times New Roman"/>
                <w:sz w:val="16"/>
              </w:rPr>
              <w:t>0.0991</w:t>
            </w:r>
          </w:p>
        </w:tc>
        <w:tc>
          <w:tcPr>
            <w:tcW w:type="dxa" w:w="1740"/>
          </w:tcPr>
          <w:p>
            <w:pPr>
              <w:jc w:val="center"/>
            </w:pPr>
            <w:r>
              <w:rPr>
                <w:rFonts w:ascii="Times New Roman" w:hAnsi="Times New Roman"/>
                <w:sz w:val="16"/>
              </w:rPr>
              <w:t>0.9717</w:t>
            </w:r>
          </w:p>
        </w:tc>
        <w:tc>
          <w:tcPr>
            <w:tcW w:type="dxa" w:w="1740"/>
          </w:tcPr>
          <w:p>
            <w:pPr>
              <w:jc w:val="center"/>
            </w:pPr>
            <w:r>
              <w:rPr>
                <w:rFonts w:ascii="Times New Roman" w:hAnsi="Times New Roman"/>
                <w:sz w:val="16"/>
              </w:rPr>
              <w:t>1.0000</w:t>
            </w:r>
          </w:p>
        </w:tc>
        <w:tc>
          <w:tcPr>
            <w:tcW w:type="dxa" w:w="1740"/>
          </w:tcPr>
          <w:p>
            <w:pPr>
              <w:jc w:val="center"/>
            </w:pPr>
            <w:r>
              <w:rPr>
                <w:rFonts w:ascii="Times New Roman" w:hAnsi="Times New Roman"/>
                <w:sz w:val="16"/>
              </w:rPr>
              <w:t>0.4894</w:t>
            </w:r>
          </w:p>
        </w:tc>
        <w:tc>
          <w:tcPr>
            <w:tcW w:type="dxa" w:w="1740"/>
          </w:tcPr>
          <w:p>
            <w:pPr>
              <w:jc w:val="center"/>
            </w:pPr>
            <w:r>
              <w:rPr>
                <w:rFonts w:ascii="Times New Roman" w:hAnsi="Times New Roman"/>
                <w:sz w:val="16"/>
              </w:rPr>
              <w:t>0.6736</w:t>
            </w:r>
          </w:p>
        </w:tc>
      </w:tr>
      <w:tr>
        <w:tc>
          <w:tcPr>
            <w:tcW w:type="dxa" w:w="1740"/>
          </w:tcPr>
          <w:p>
            <w:pPr>
              <w:jc w:val="left"/>
            </w:pPr>
            <w:r>
              <w:rPr>
                <w:rFonts w:ascii="Times New Roman" w:hAnsi="Times New Roman"/>
                <w:sz w:val="16"/>
              </w:rPr>
              <w:t>dHash-64</w:t>
            </w:r>
          </w:p>
        </w:tc>
        <w:tc>
          <w:tcPr>
            <w:tcW w:type="dxa" w:w="1740"/>
          </w:tcPr>
          <w:p>
            <w:pPr>
              <w:jc w:val="center"/>
            </w:pPr>
            <w:r>
              <w:rPr>
                <w:rFonts w:ascii="Times New Roman" w:hAnsi="Times New Roman"/>
                <w:sz w:val="16"/>
              </w:rPr>
              <w:t>0.1085</w:t>
            </w:r>
          </w:p>
        </w:tc>
        <w:tc>
          <w:tcPr>
            <w:tcW w:type="dxa" w:w="1740"/>
          </w:tcPr>
          <w:p>
            <w:pPr>
              <w:jc w:val="center"/>
            </w:pPr>
            <w:r>
              <w:rPr>
                <w:rFonts w:ascii="Times New Roman" w:hAnsi="Times New Roman"/>
                <w:sz w:val="16"/>
              </w:rPr>
              <w:t>0.9481</w:t>
            </w:r>
          </w:p>
        </w:tc>
        <w:tc>
          <w:tcPr>
            <w:tcW w:type="dxa" w:w="1740"/>
          </w:tcPr>
          <w:p>
            <w:pPr>
              <w:jc w:val="center"/>
            </w:pPr>
            <w:r>
              <w:rPr>
                <w:rFonts w:ascii="Times New Roman" w:hAnsi="Times New Roman"/>
                <w:sz w:val="16"/>
              </w:rPr>
              <w:t>0.9717</w:t>
            </w:r>
          </w:p>
        </w:tc>
        <w:tc>
          <w:tcPr>
            <w:tcW w:type="dxa" w:w="1740"/>
          </w:tcPr>
          <w:p>
            <w:pPr>
              <w:jc w:val="center"/>
            </w:pPr>
            <w:r>
              <w:rPr>
                <w:rFonts w:ascii="Times New Roman" w:hAnsi="Times New Roman"/>
                <w:sz w:val="16"/>
              </w:rPr>
              <w:t>0.4995</w:t>
            </w:r>
          </w:p>
        </w:tc>
        <w:tc>
          <w:tcPr>
            <w:tcW w:type="dxa" w:w="1740"/>
          </w:tcPr>
          <w:p>
            <w:pPr>
              <w:jc w:val="center"/>
            </w:pPr>
            <w:r>
              <w:rPr>
                <w:rFonts w:ascii="Times New Roman" w:hAnsi="Times New Roman"/>
                <w:sz w:val="16"/>
              </w:rPr>
              <w:t>0.6236</w:t>
            </w:r>
          </w:p>
        </w:tc>
      </w:tr>
      <w:tr>
        <w:tc>
          <w:tcPr>
            <w:tcW w:type="dxa" w:w="1740"/>
          </w:tcPr>
          <w:p>
            <w:pPr>
              <w:jc w:val="left"/>
            </w:pPr>
            <w:r>
              <w:rPr>
                <w:rFonts w:ascii="Times New Roman" w:hAnsi="Times New Roman"/>
                <w:sz w:val="16"/>
              </w:rPr>
              <w:t>ResNet-50</w:t>
            </w:r>
          </w:p>
        </w:tc>
        <w:tc>
          <w:tcPr>
            <w:tcW w:type="dxa" w:w="1740"/>
          </w:tcPr>
          <w:p>
            <w:pPr>
              <w:jc w:val="center"/>
            </w:pPr>
            <w:r>
              <w:rPr>
                <w:rFonts w:ascii="Times New Roman" w:hAnsi="Times New Roman"/>
                <w:sz w:val="16"/>
              </w:rPr>
              <w:t>0.0802</w:t>
            </w:r>
          </w:p>
        </w:tc>
        <w:tc>
          <w:tcPr>
            <w:tcW w:type="dxa" w:w="1740"/>
          </w:tcPr>
          <w:p>
            <w:pPr>
              <w:jc w:val="center"/>
            </w:pPr>
            <w:r>
              <w:rPr>
                <w:rFonts w:ascii="Times New Roman" w:hAnsi="Times New Roman"/>
                <w:sz w:val="16"/>
              </w:rPr>
              <w:t>0.9811</w:t>
            </w:r>
          </w:p>
        </w:tc>
        <w:tc>
          <w:tcPr>
            <w:tcW w:type="dxa" w:w="1740"/>
          </w:tcPr>
          <w:p>
            <w:pPr>
              <w:jc w:val="center"/>
            </w:pPr>
            <w:r>
              <w:rPr>
                <w:rFonts w:ascii="Times New Roman" w:hAnsi="Times New Roman"/>
                <w:sz w:val="16"/>
              </w:rPr>
              <w:t>1.0000</w:t>
            </w:r>
          </w:p>
        </w:tc>
        <w:tc>
          <w:tcPr>
            <w:tcW w:type="dxa" w:w="1740"/>
          </w:tcPr>
          <w:p>
            <w:pPr>
              <w:jc w:val="center"/>
            </w:pPr>
            <w:r>
              <w:rPr>
                <w:rFonts w:ascii="Times New Roman" w:hAnsi="Times New Roman"/>
                <w:sz w:val="16"/>
              </w:rPr>
              <w:t>0.4836</w:t>
            </w:r>
          </w:p>
        </w:tc>
        <w:tc>
          <w:tcPr>
            <w:tcW w:type="dxa" w:w="1740"/>
          </w:tcPr>
          <w:p>
            <w:pPr>
              <w:jc w:val="center"/>
            </w:pPr>
            <w:r>
              <w:rPr>
                <w:rFonts w:ascii="Times New Roman" w:hAnsi="Times New Roman"/>
                <w:sz w:val="16"/>
              </w:rPr>
              <w:t>0.5726</w:t>
            </w:r>
          </w:p>
        </w:tc>
      </w:tr>
      <w:tr>
        <w:tc>
          <w:tcPr>
            <w:tcW w:type="dxa" w:w="1740"/>
          </w:tcPr>
          <w:p>
            <w:pPr>
              <w:jc w:val="left"/>
            </w:pPr>
            <w:r>
              <w:rPr>
                <w:rFonts w:ascii="Times New Roman" w:hAnsi="Times New Roman"/>
                <w:sz w:val="16"/>
              </w:rPr>
              <w:t>DINOv2 ViT-S/14</w:t>
            </w:r>
          </w:p>
        </w:tc>
        <w:tc>
          <w:tcPr>
            <w:tcW w:type="dxa" w:w="1740"/>
          </w:tcPr>
          <w:p>
            <w:pPr>
              <w:jc w:val="center"/>
            </w:pPr>
            <w:r>
              <w:rPr>
                <w:rFonts w:ascii="Times New Roman" w:hAnsi="Times New Roman"/>
                <w:sz w:val="16"/>
              </w:rPr>
              <w:t>0.1321</w:t>
            </w:r>
          </w:p>
        </w:tc>
        <w:tc>
          <w:tcPr>
            <w:tcW w:type="dxa" w:w="1740"/>
          </w:tcPr>
          <w:p>
            <w:pPr>
              <w:jc w:val="center"/>
            </w:pPr>
            <w:r>
              <w:rPr>
                <w:rFonts w:ascii="Times New Roman" w:hAnsi="Times New Roman"/>
                <w:sz w:val="16"/>
              </w:rPr>
              <w:t>0.9858</w:t>
            </w:r>
          </w:p>
        </w:tc>
        <w:tc>
          <w:tcPr>
            <w:tcW w:type="dxa" w:w="1740"/>
          </w:tcPr>
          <w:p>
            <w:pPr>
              <w:jc w:val="center"/>
            </w:pPr>
            <w:r>
              <w:rPr>
                <w:rFonts w:ascii="Times New Roman" w:hAnsi="Times New Roman"/>
                <w:sz w:val="16"/>
              </w:rPr>
              <w:t>1.0000</w:t>
            </w:r>
          </w:p>
        </w:tc>
        <w:tc>
          <w:tcPr>
            <w:tcW w:type="dxa" w:w="1740"/>
          </w:tcPr>
          <w:p>
            <w:pPr>
              <w:jc w:val="center"/>
            </w:pPr>
            <w:r>
              <w:rPr>
                <w:rFonts w:ascii="Times New Roman" w:hAnsi="Times New Roman"/>
                <w:sz w:val="16"/>
              </w:rPr>
              <w:t>0.5200</w:t>
            </w:r>
          </w:p>
        </w:tc>
        <w:tc>
          <w:tcPr>
            <w:tcW w:type="dxa" w:w="1740"/>
          </w:tcPr>
          <w:p>
            <w:pPr>
              <w:jc w:val="center"/>
            </w:pPr>
            <w:r>
              <w:rPr>
                <w:rFonts w:ascii="Times New Roman" w:hAnsi="Times New Roman"/>
                <w:sz w:val="16"/>
              </w:rPr>
              <w:t>0.6160</w:t>
            </w:r>
          </w:p>
        </w:tc>
      </w:tr>
      <w:tr>
        <w:tc>
          <w:tcPr>
            <w:tcW w:type="dxa" w:w="1740"/>
          </w:tcPr>
          <w:p>
            <w:pPr>
              <w:jc w:val="left"/>
            </w:pPr>
            <w:r>
              <w:rPr>
                <w:rFonts w:ascii="Times New Roman" w:hAnsi="Times New Roman"/>
                <w:sz w:val="16"/>
              </w:rPr>
              <w:t>Adapter, seed 42</w:t>
            </w:r>
          </w:p>
        </w:tc>
        <w:tc>
          <w:tcPr>
            <w:tcW w:type="dxa" w:w="1740"/>
          </w:tcPr>
          <w:p>
            <w:pPr>
              <w:jc w:val="center"/>
            </w:pPr>
            <w:r>
              <w:rPr>
                <w:rFonts w:ascii="Times New Roman" w:hAnsi="Times New Roman"/>
                <w:sz w:val="16"/>
              </w:rPr>
              <w:t>0.1321</w:t>
            </w:r>
          </w:p>
        </w:tc>
        <w:tc>
          <w:tcPr>
            <w:tcW w:type="dxa" w:w="1740"/>
          </w:tcPr>
          <w:p>
            <w:pPr>
              <w:jc w:val="center"/>
            </w:pPr>
            <w:r>
              <w:rPr>
                <w:rFonts w:ascii="Times New Roman" w:hAnsi="Times New Roman"/>
                <w:sz w:val="16"/>
              </w:rPr>
              <w:t>0.9953</w:t>
            </w:r>
          </w:p>
        </w:tc>
        <w:tc>
          <w:tcPr>
            <w:tcW w:type="dxa" w:w="1740"/>
          </w:tcPr>
          <w:p>
            <w:pPr>
              <w:jc w:val="center"/>
            </w:pPr>
            <w:r>
              <w:rPr>
                <w:rFonts w:ascii="Times New Roman" w:hAnsi="Times New Roman"/>
                <w:sz w:val="16"/>
              </w:rPr>
              <w:t>1.0000</w:t>
            </w:r>
          </w:p>
        </w:tc>
        <w:tc>
          <w:tcPr>
            <w:tcW w:type="dxa" w:w="1740"/>
          </w:tcPr>
          <w:p>
            <w:pPr>
              <w:jc w:val="center"/>
            </w:pPr>
            <w:r>
              <w:rPr>
                <w:rFonts w:ascii="Times New Roman" w:hAnsi="Times New Roman"/>
                <w:sz w:val="16"/>
              </w:rPr>
              <w:t>0.5230</w:t>
            </w:r>
          </w:p>
        </w:tc>
        <w:tc>
          <w:tcPr>
            <w:tcW w:type="dxa" w:w="1740"/>
          </w:tcPr>
          <w:p>
            <w:pPr>
              <w:jc w:val="center"/>
            </w:pPr>
            <w:r>
              <w:rPr>
                <w:rFonts w:ascii="Times New Roman" w:hAnsi="Times New Roman"/>
                <w:sz w:val="16"/>
              </w:rPr>
              <w:t>0.6321</w:t>
            </w:r>
          </w:p>
        </w:tc>
      </w:tr>
      <w:tr>
        <w:tc>
          <w:tcPr>
            <w:tcW w:type="dxa" w:w="1740"/>
          </w:tcPr>
          <w:p>
            <w:pPr>
              <w:jc w:val="left"/>
            </w:pPr>
            <w:r>
              <w:rPr>
                <w:rFonts w:ascii="Times New Roman" w:hAnsi="Times New Roman"/>
                <w:sz w:val="16"/>
              </w:rPr>
              <w:t>Adapter, seed 123</w:t>
            </w:r>
          </w:p>
        </w:tc>
        <w:tc>
          <w:tcPr>
            <w:tcW w:type="dxa" w:w="1740"/>
          </w:tcPr>
          <w:p>
            <w:pPr>
              <w:jc w:val="center"/>
            </w:pPr>
            <w:r>
              <w:rPr>
                <w:rFonts w:ascii="Times New Roman" w:hAnsi="Times New Roman"/>
                <w:sz w:val="16"/>
              </w:rPr>
              <w:t>0.1462</w:t>
            </w:r>
          </w:p>
        </w:tc>
        <w:tc>
          <w:tcPr>
            <w:tcW w:type="dxa" w:w="1740"/>
          </w:tcPr>
          <w:p>
            <w:pPr>
              <w:jc w:val="center"/>
            </w:pPr>
            <w:r>
              <w:rPr>
                <w:rFonts w:ascii="Times New Roman" w:hAnsi="Times New Roman"/>
                <w:sz w:val="16"/>
              </w:rPr>
              <w:t>0.9906</w:t>
            </w:r>
          </w:p>
        </w:tc>
        <w:tc>
          <w:tcPr>
            <w:tcW w:type="dxa" w:w="1740"/>
          </w:tcPr>
          <w:p>
            <w:pPr>
              <w:jc w:val="center"/>
            </w:pPr>
            <w:r>
              <w:rPr>
                <w:rFonts w:ascii="Times New Roman" w:hAnsi="Times New Roman"/>
                <w:sz w:val="16"/>
              </w:rPr>
              <w:t>1.0000</w:t>
            </w:r>
          </w:p>
        </w:tc>
        <w:tc>
          <w:tcPr>
            <w:tcW w:type="dxa" w:w="1740"/>
          </w:tcPr>
          <w:p>
            <w:pPr>
              <w:jc w:val="center"/>
            </w:pPr>
            <w:r>
              <w:rPr>
                <w:rFonts w:ascii="Times New Roman" w:hAnsi="Times New Roman"/>
                <w:sz w:val="16"/>
              </w:rPr>
              <w:t>0.5214</w:t>
            </w:r>
          </w:p>
        </w:tc>
        <w:tc>
          <w:tcPr>
            <w:tcW w:type="dxa" w:w="1740"/>
          </w:tcPr>
          <w:p>
            <w:pPr>
              <w:jc w:val="center"/>
            </w:pPr>
            <w:r>
              <w:rPr>
                <w:rFonts w:ascii="Times New Roman" w:hAnsi="Times New Roman"/>
                <w:sz w:val="16"/>
              </w:rPr>
              <w:t>0.6217</w:t>
            </w:r>
          </w:p>
        </w:tc>
      </w:tr>
      <w:tr>
        <w:tc>
          <w:tcPr>
            <w:tcW w:type="dxa" w:w="1740"/>
          </w:tcPr>
          <w:p>
            <w:pPr>
              <w:jc w:val="left"/>
            </w:pPr>
            <w:r>
              <w:rPr>
                <w:rFonts w:ascii="Times New Roman" w:hAnsi="Times New Roman"/>
                <w:sz w:val="16"/>
              </w:rPr>
              <w:t>Adapter, seed 2024</w:t>
            </w:r>
          </w:p>
        </w:tc>
        <w:tc>
          <w:tcPr>
            <w:tcW w:type="dxa" w:w="1740"/>
          </w:tcPr>
          <w:p>
            <w:pPr>
              <w:jc w:val="center"/>
            </w:pPr>
            <w:r>
              <w:rPr>
                <w:rFonts w:ascii="Times New Roman" w:hAnsi="Times New Roman"/>
                <w:sz w:val="16"/>
              </w:rPr>
              <w:t>0.1557</w:t>
            </w:r>
          </w:p>
        </w:tc>
        <w:tc>
          <w:tcPr>
            <w:tcW w:type="dxa" w:w="1740"/>
          </w:tcPr>
          <w:p>
            <w:pPr>
              <w:jc w:val="center"/>
            </w:pPr>
            <w:r>
              <w:rPr>
                <w:rFonts w:ascii="Times New Roman" w:hAnsi="Times New Roman"/>
                <w:sz w:val="16"/>
              </w:rPr>
              <w:t>0.9906</w:t>
            </w:r>
          </w:p>
        </w:tc>
        <w:tc>
          <w:tcPr>
            <w:tcW w:type="dxa" w:w="1740"/>
          </w:tcPr>
          <w:p>
            <w:pPr>
              <w:jc w:val="center"/>
            </w:pPr>
            <w:r>
              <w:rPr>
                <w:rFonts w:ascii="Times New Roman" w:hAnsi="Times New Roman"/>
                <w:sz w:val="16"/>
              </w:rPr>
              <w:t>1.0000</w:t>
            </w:r>
          </w:p>
        </w:tc>
        <w:tc>
          <w:tcPr>
            <w:tcW w:type="dxa" w:w="1740"/>
          </w:tcPr>
          <w:p>
            <w:pPr>
              <w:jc w:val="center"/>
            </w:pPr>
            <w:r>
              <w:rPr>
                <w:rFonts w:ascii="Times New Roman" w:hAnsi="Times New Roman"/>
                <w:sz w:val="16"/>
              </w:rPr>
              <w:t>0.5338</w:t>
            </w:r>
          </w:p>
        </w:tc>
        <w:tc>
          <w:tcPr>
            <w:tcW w:type="dxa" w:w="1740"/>
          </w:tcPr>
          <w:p>
            <w:pPr>
              <w:jc w:val="center"/>
            </w:pPr>
            <w:r>
              <w:rPr>
                <w:rFonts w:ascii="Times New Roman" w:hAnsi="Times New Roman"/>
                <w:sz w:val="16"/>
              </w:rPr>
              <w:t>0.6443</w:t>
            </w:r>
          </w:p>
        </w:tc>
      </w:tr>
      <w:tr>
        <w:tc>
          <w:tcPr>
            <w:tcW w:type="dxa" w:w="1740"/>
          </w:tcPr>
          <w:p>
            <w:pPr>
              <w:jc w:val="left"/>
            </w:pPr>
            <w:r>
              <w:rPr>
                <w:rFonts w:ascii="Times New Roman" w:hAnsi="Times New Roman"/>
                <w:sz w:val="16"/>
              </w:rPr>
              <w:t>Adapter, 3-seed mean</w:t>
            </w:r>
          </w:p>
        </w:tc>
        <w:tc>
          <w:tcPr>
            <w:tcW w:type="dxa" w:w="1740"/>
          </w:tcPr>
          <w:p>
            <w:pPr>
              <w:jc w:val="center"/>
            </w:pPr>
            <w:r>
              <w:rPr>
                <w:rFonts w:ascii="Times New Roman" w:hAnsi="Times New Roman"/>
                <w:sz w:val="16"/>
              </w:rPr>
              <w:t>0.1447</w:t>
            </w:r>
          </w:p>
        </w:tc>
        <w:tc>
          <w:tcPr>
            <w:tcW w:type="dxa" w:w="1740"/>
          </w:tcPr>
          <w:p>
            <w:pPr>
              <w:jc w:val="center"/>
            </w:pPr>
            <w:r>
              <w:rPr>
                <w:rFonts w:ascii="Times New Roman" w:hAnsi="Times New Roman"/>
                <w:sz w:val="16"/>
              </w:rPr>
              <w:t>0.9921</w:t>
            </w:r>
          </w:p>
        </w:tc>
        <w:tc>
          <w:tcPr>
            <w:tcW w:type="dxa" w:w="1740"/>
          </w:tcPr>
          <w:p>
            <w:pPr>
              <w:jc w:val="center"/>
            </w:pPr>
            <w:r>
              <w:rPr>
                <w:rFonts w:ascii="Times New Roman" w:hAnsi="Times New Roman"/>
                <w:sz w:val="16"/>
              </w:rPr>
              <w:t>1.0000</w:t>
            </w:r>
          </w:p>
        </w:tc>
        <w:tc>
          <w:tcPr>
            <w:tcW w:type="dxa" w:w="1740"/>
          </w:tcPr>
          <w:p>
            <w:pPr>
              <w:jc w:val="center"/>
            </w:pPr>
            <w:r>
              <w:rPr>
                <w:rFonts w:ascii="Times New Roman" w:hAnsi="Times New Roman"/>
                <w:sz w:val="16"/>
              </w:rPr>
              <w:t>0.5261</w:t>
            </w:r>
          </w:p>
        </w:tc>
        <w:tc>
          <w:tcPr>
            <w:tcW w:type="dxa" w:w="1740"/>
          </w:tcPr>
          <w:p>
            <w:pPr>
              <w:jc w:val="center"/>
            </w:pPr>
            <w:r>
              <w:rPr>
                <w:rFonts w:ascii="Times New Roman" w:hAnsi="Times New Roman"/>
                <w:sz w:val="16"/>
              </w:rPr>
              <w:t>0.6327</w:t>
            </w:r>
          </w:p>
        </w:tc>
      </w:tr>
    </w:tbl>
    <w:p>
      <w:pPr>
        <w:spacing w:before="0" w:after="40"/>
      </w:pPr>
    </w:p>
    <w:p>
      <w:pPr>
        <w:spacing w:after="120" w:before="0"/>
        <w:jc w:val="center"/>
      </w:pPr>
      <w:r>
        <w:rPr>
          <w:rFonts w:ascii="Times New Roman" w:hAnsi="Times New Roman"/>
          <w:b w:val="0"/>
          <w:i w:val="0"/>
          <w:sz w:val="16"/>
        </w:rPr>
        <w:t>TABLE IV: Protocol U Retrieval Benchmarks (212 Queries, 211 Candidates Each).</w:t>
      </w:r>
    </w:p>
    <w:p>
      <w:pPr>
        <w:spacing w:before="120" w:after="40"/>
        <w:jc w:val="left"/>
      </w:pPr>
      <w:r>
        <w:rPr>
          <w:rFonts w:ascii="Times New Roman" w:hAnsi="Times New Roman"/>
          <w:i/>
          <w:sz w:val="20"/>
        </w:rPr>
        <w:t>C. Late Metadata Fusion (Claim 3)</w:t>
      </w:r>
    </w:p>
    <w:p>
      <w:pPr>
        <w:spacing w:after="80" w:before="0"/>
        <w:jc w:val="both"/>
      </w:pPr>
      <w:r>
        <w:rPr>
          <w:rFonts w:ascii="Times New Roman" w:hAnsi="Times New Roman"/>
          <w:b w:val="0"/>
          <w:i w:val="0"/>
          <w:sz w:val="20"/>
        </w:rPr>
        <w:t>We tested late score-level fusion on the validation split (135 queries). Validation MRR is flat for every alpha &gt;= 0.1 (0.9889 for frozen DINOv2, 1.0000 for adapter), so the tie-break rule selects alpha* = 1.0, which reduces fusion exactly to visual score and gives delta R@1 = 0.0000 on test. Saturated visual features rendered late score-level metadata fusion redundant, but metadata remains essential for relational filtering, evidence constraints, and provenance.</w:t>
      </w:r>
    </w:p>
    <w:p>
      <w:pPr>
        <w:spacing w:before="120" w:after="40"/>
        <w:jc w:val="left"/>
      </w:pPr>
      <w:r>
        <w:rPr>
          <w:rFonts w:ascii="Times New Roman" w:hAnsi="Times New Roman"/>
          <w:i/>
          <w:sz w:val="20"/>
        </w:rPr>
        <w:t>D. Duplicate Screening (Claim 4)</w:t>
      </w:r>
    </w:p>
    <w:p>
      <w:pPr>
        <w:spacing w:after="80" w:before="0"/>
        <w:jc w:val="both"/>
      </w:pPr>
      <w:r>
        <w:rPr>
          <w:rFonts w:ascii="Times New Roman" w:hAnsi="Times New Roman"/>
          <w:b w:val="0"/>
          <w:i w:val="0"/>
          <w:sz w:val="20"/>
        </w:rPr>
        <w:t>A SHA-256 audit across all 6,085 active images found no exact duplicates, while 483 groups share an identical 64-bit pHash, motivating confirmation by embedding and SSIM stages. The natural HCCI partition yields 769 clusters (764 singletons, 5 flagged pairs, all routed to review). Duplicates are flagged for human review, not auto-deleted.</w:t>
      </w:r>
    </w:p>
    <w:p>
      <w:pPr>
        <w:spacing w:before="120" w:after="40"/>
        <w:jc w:val="left"/>
      </w:pPr>
      <w:r>
        <w:rPr>
          <w:rFonts w:ascii="Times New Roman" w:hAnsi="Times New Roman"/>
          <w:i/>
          <w:sz w:val="20"/>
        </w:rPr>
        <w:t>E. Quality Screening and Localization (Claim 5)</w:t>
      </w:r>
    </w:p>
    <w:p>
      <w:pPr>
        <w:spacing w:after="80" w:before="0"/>
        <w:jc w:val="both"/>
      </w:pPr>
      <w:r>
        <w:rPr>
          <w:rFonts w:ascii="Times New Roman" w:hAnsi="Times New Roman"/>
          <w:b w:val="0"/>
          <w:i w:val="0"/>
          <w:sz w:val="20"/>
        </w:rPr>
        <w:t>For binary quality risk (1,100 test images), threshold-free metrics are AUROC/AUPRC of 0.8281/0.9808 for handcrafted indicators, 0.8582/0.9841 for DINOv2, and 0.8230/0.9792 for the adapter (Table I). For the 11-class task, DINOv2 linear probe attains macro-F1 0.6837 and balanced accuracy 0.7036. Table V gives localization: macro IoU 0.4454 and Dice 0.5103 (precision 0.5925, recall 0.4983), driven by strong charging-like (0.7794 IoU) and exposure categories.</w:t>
      </w:r>
    </w:p>
    <w:tbl>
      <w:tblPr>
        <w:tblW w:type="auto" w:w="0"/>
        <w:jc w:val="center"/>
        <w:tblLook w:firstColumn="1" w:firstRow="1" w:lastColumn="0" w:lastRow="0" w:noHBand="0" w:noVBand="1" w:val="04A0"/>
      </w:tblPr>
      <w:tblGrid>
        <w:gridCol w:w="1740"/>
        <w:gridCol w:w="1740"/>
        <w:gridCol w:w="1740"/>
        <w:gridCol w:w="1740"/>
        <w:gridCol w:w="1740"/>
        <w:gridCol w:w="1740"/>
      </w:tblGrid>
      <w:tr>
        <w:tc>
          <w:tcPr>
            <w:tcW w:type="dxa" w:w="1740"/>
            <w:shd w:fill="F1F5F9"/>
          </w:tcPr>
          <w:p>
            <w:pPr>
              <w:jc w:val="center"/>
            </w:pPr>
            <w:r>
              <w:rPr>
                <w:rFonts w:ascii="Times New Roman" w:hAnsi="Times New Roman"/>
                <w:b/>
                <w:sz w:val="16"/>
              </w:rPr>
              <w:t>Category</w:t>
            </w:r>
          </w:p>
        </w:tc>
        <w:tc>
          <w:tcPr>
            <w:tcW w:type="dxa" w:w="1740"/>
            <w:shd w:fill="F1F5F9"/>
          </w:tcPr>
          <w:p>
            <w:pPr>
              <w:jc w:val="center"/>
            </w:pPr>
            <w:r>
              <w:rPr>
                <w:rFonts w:ascii="Times New Roman" w:hAnsi="Times New Roman"/>
                <w:b/>
                <w:sz w:val="16"/>
              </w:rPr>
              <w:t>n</w:t>
            </w:r>
          </w:p>
        </w:tc>
        <w:tc>
          <w:tcPr>
            <w:tcW w:type="dxa" w:w="1740"/>
            <w:shd w:fill="F1F5F9"/>
          </w:tcPr>
          <w:p>
            <w:pPr>
              <w:jc w:val="center"/>
            </w:pPr>
            <w:r>
              <w:rPr>
                <w:rFonts w:ascii="Times New Roman" w:hAnsi="Times New Roman"/>
                <w:b/>
                <w:sz w:val="16"/>
              </w:rPr>
              <w:t>IoU</w:t>
            </w:r>
          </w:p>
        </w:tc>
        <w:tc>
          <w:tcPr>
            <w:tcW w:type="dxa" w:w="1740"/>
            <w:shd w:fill="F1F5F9"/>
          </w:tcPr>
          <w:p>
            <w:pPr>
              <w:jc w:val="center"/>
            </w:pPr>
            <w:r>
              <w:rPr>
                <w:rFonts w:ascii="Times New Roman" w:hAnsi="Times New Roman"/>
                <w:b/>
                <w:sz w:val="16"/>
              </w:rPr>
              <w:t>Dice</w:t>
            </w:r>
          </w:p>
        </w:tc>
        <w:tc>
          <w:tcPr>
            <w:tcW w:type="dxa" w:w="1740"/>
            <w:shd w:fill="F1F5F9"/>
          </w:tcPr>
          <w:p>
            <w:pPr>
              <w:jc w:val="center"/>
            </w:pPr>
            <w:r>
              <w:rPr>
                <w:rFonts w:ascii="Times New Roman" w:hAnsi="Times New Roman"/>
                <w:b/>
                <w:sz w:val="16"/>
              </w:rPr>
              <w:t>Precision</w:t>
            </w:r>
          </w:p>
        </w:tc>
        <w:tc>
          <w:tcPr>
            <w:tcW w:type="dxa" w:w="1740"/>
            <w:shd w:fill="F1F5F9"/>
          </w:tcPr>
          <w:p>
            <w:pPr>
              <w:jc w:val="center"/>
            </w:pPr>
            <w:r>
              <w:rPr>
                <w:rFonts w:ascii="Times New Roman" w:hAnsi="Times New Roman"/>
                <w:b/>
                <w:sz w:val="16"/>
              </w:rPr>
              <w:t>Recall</w:t>
            </w:r>
          </w:p>
        </w:tc>
      </w:tr>
      <w:tr>
        <w:tc>
          <w:tcPr>
            <w:tcW w:type="dxa" w:w="1740"/>
          </w:tcPr>
          <w:p>
            <w:pPr>
              <w:jc w:val="left"/>
            </w:pPr>
            <w:r>
              <w:rPr>
                <w:rFonts w:ascii="Times New Roman" w:hAnsi="Times New Roman"/>
                <w:sz w:val="16"/>
              </w:rPr>
              <w:t>Charging-like (synthetic)</w:t>
            </w:r>
          </w:p>
        </w:tc>
        <w:tc>
          <w:tcPr>
            <w:tcW w:type="dxa" w:w="1740"/>
          </w:tcPr>
          <w:p>
            <w:pPr>
              <w:jc w:val="center"/>
            </w:pPr>
            <w:r>
              <w:rPr>
                <w:rFonts w:ascii="Times New Roman" w:hAnsi="Times New Roman"/>
                <w:sz w:val="16"/>
              </w:rPr>
              <w:t>100</w:t>
            </w:r>
          </w:p>
        </w:tc>
        <w:tc>
          <w:tcPr>
            <w:tcW w:type="dxa" w:w="1740"/>
          </w:tcPr>
          <w:p>
            <w:pPr>
              <w:jc w:val="center"/>
            </w:pPr>
            <w:r>
              <w:rPr>
                <w:rFonts w:ascii="Times New Roman" w:hAnsi="Times New Roman"/>
                <w:sz w:val="16"/>
              </w:rPr>
              <w:t>0.7794</w:t>
            </w:r>
          </w:p>
        </w:tc>
        <w:tc>
          <w:tcPr>
            <w:tcW w:type="dxa" w:w="1740"/>
          </w:tcPr>
          <w:p>
            <w:pPr>
              <w:jc w:val="center"/>
            </w:pPr>
            <w:r>
              <w:rPr>
                <w:rFonts w:ascii="Times New Roman" w:hAnsi="Times New Roman"/>
                <w:sz w:val="16"/>
              </w:rPr>
              <w:t>0.8661</w:t>
            </w:r>
          </w:p>
        </w:tc>
        <w:tc>
          <w:tcPr>
            <w:tcW w:type="dxa" w:w="1740"/>
          </w:tcPr>
          <w:p>
            <w:pPr>
              <w:jc w:val="center"/>
            </w:pPr>
            <w:r>
              <w:rPr>
                <w:rFonts w:ascii="Times New Roman" w:hAnsi="Times New Roman"/>
                <w:sz w:val="16"/>
              </w:rPr>
              <w:t>0.8812</w:t>
            </w:r>
          </w:p>
        </w:tc>
        <w:tc>
          <w:tcPr>
            <w:tcW w:type="dxa" w:w="1740"/>
          </w:tcPr>
          <w:p>
            <w:pPr>
              <w:jc w:val="center"/>
            </w:pPr>
            <w:r>
              <w:rPr>
                <w:rFonts w:ascii="Times New Roman" w:hAnsi="Times New Roman"/>
                <w:sz w:val="16"/>
              </w:rPr>
              <w:t>0.8515</w:t>
            </w:r>
          </w:p>
        </w:tc>
      </w:tr>
      <w:tr>
        <w:tc>
          <w:tcPr>
            <w:tcW w:type="dxa" w:w="1740"/>
          </w:tcPr>
          <w:p>
            <w:pPr>
              <w:jc w:val="left"/>
            </w:pPr>
            <w:r>
              <w:rPr>
                <w:rFonts w:ascii="Times New Roman" w:hAnsi="Times New Roman"/>
                <w:sz w:val="16"/>
              </w:rPr>
              <w:t>Overexposure</w:t>
            </w:r>
          </w:p>
        </w:tc>
        <w:tc>
          <w:tcPr>
            <w:tcW w:type="dxa" w:w="1740"/>
          </w:tcPr>
          <w:p>
            <w:pPr>
              <w:jc w:val="center"/>
            </w:pPr>
            <w:r>
              <w:rPr>
                <w:rFonts w:ascii="Times New Roman" w:hAnsi="Times New Roman"/>
                <w:sz w:val="16"/>
              </w:rPr>
              <w:t>100</w:t>
            </w:r>
          </w:p>
        </w:tc>
        <w:tc>
          <w:tcPr>
            <w:tcW w:type="dxa" w:w="1740"/>
          </w:tcPr>
          <w:p>
            <w:pPr>
              <w:jc w:val="center"/>
            </w:pPr>
            <w:r>
              <w:rPr>
                <w:rFonts w:ascii="Times New Roman" w:hAnsi="Times New Roman"/>
                <w:sz w:val="16"/>
              </w:rPr>
              <w:t>0.5621</w:t>
            </w:r>
          </w:p>
        </w:tc>
        <w:tc>
          <w:tcPr>
            <w:tcW w:type="dxa" w:w="1740"/>
          </w:tcPr>
          <w:p>
            <w:pPr>
              <w:jc w:val="center"/>
            </w:pPr>
            <w:r>
              <w:rPr>
                <w:rFonts w:ascii="Times New Roman" w:hAnsi="Times New Roman"/>
                <w:sz w:val="16"/>
              </w:rPr>
              <w:t>0.6384</w:t>
            </w:r>
          </w:p>
        </w:tc>
        <w:tc>
          <w:tcPr>
            <w:tcW w:type="dxa" w:w="1740"/>
          </w:tcPr>
          <w:p>
            <w:pPr>
              <w:jc w:val="center"/>
            </w:pPr>
            <w:r>
              <w:rPr>
                <w:rFonts w:ascii="Times New Roman" w:hAnsi="Times New Roman"/>
                <w:sz w:val="16"/>
              </w:rPr>
              <w:t>0.6841</w:t>
            </w:r>
          </w:p>
        </w:tc>
        <w:tc>
          <w:tcPr>
            <w:tcW w:type="dxa" w:w="1740"/>
          </w:tcPr>
          <w:p>
            <w:pPr>
              <w:jc w:val="center"/>
            </w:pPr>
            <w:r>
              <w:rPr>
                <w:rFonts w:ascii="Times New Roman" w:hAnsi="Times New Roman"/>
                <w:sz w:val="16"/>
              </w:rPr>
              <w:t>0.5982</w:t>
            </w:r>
          </w:p>
        </w:tc>
      </w:tr>
      <w:tr>
        <w:tc>
          <w:tcPr>
            <w:tcW w:type="dxa" w:w="1740"/>
          </w:tcPr>
          <w:p>
            <w:pPr>
              <w:jc w:val="left"/>
            </w:pPr>
            <w:r>
              <w:rPr>
                <w:rFonts w:ascii="Times New Roman" w:hAnsi="Times New Roman"/>
                <w:sz w:val="16"/>
              </w:rPr>
              <w:t>Underexposure</w:t>
            </w:r>
          </w:p>
        </w:tc>
        <w:tc>
          <w:tcPr>
            <w:tcW w:type="dxa" w:w="1740"/>
          </w:tcPr>
          <w:p>
            <w:pPr>
              <w:jc w:val="center"/>
            </w:pPr>
            <w:r>
              <w:rPr>
                <w:rFonts w:ascii="Times New Roman" w:hAnsi="Times New Roman"/>
                <w:sz w:val="16"/>
              </w:rPr>
              <w:t>100</w:t>
            </w:r>
          </w:p>
        </w:tc>
        <w:tc>
          <w:tcPr>
            <w:tcW w:type="dxa" w:w="1740"/>
          </w:tcPr>
          <w:p>
            <w:pPr>
              <w:jc w:val="center"/>
            </w:pPr>
            <w:r>
              <w:rPr>
                <w:rFonts w:ascii="Times New Roman" w:hAnsi="Times New Roman"/>
                <w:sz w:val="16"/>
              </w:rPr>
              <w:t>0.5579</w:t>
            </w:r>
          </w:p>
        </w:tc>
        <w:tc>
          <w:tcPr>
            <w:tcW w:type="dxa" w:w="1740"/>
          </w:tcPr>
          <w:p>
            <w:pPr>
              <w:jc w:val="center"/>
            </w:pPr>
            <w:r>
              <w:rPr>
                <w:rFonts w:ascii="Times New Roman" w:hAnsi="Times New Roman"/>
                <w:sz w:val="16"/>
              </w:rPr>
              <w:t>0.6358</w:t>
            </w:r>
          </w:p>
        </w:tc>
        <w:tc>
          <w:tcPr>
            <w:tcW w:type="dxa" w:w="1740"/>
          </w:tcPr>
          <w:p>
            <w:pPr>
              <w:jc w:val="center"/>
            </w:pPr>
            <w:r>
              <w:rPr>
                <w:rFonts w:ascii="Times New Roman" w:hAnsi="Times New Roman"/>
                <w:sz w:val="16"/>
              </w:rPr>
              <w:t>0.6795</w:t>
            </w:r>
          </w:p>
        </w:tc>
        <w:tc>
          <w:tcPr>
            <w:tcW w:type="dxa" w:w="1740"/>
          </w:tcPr>
          <w:p>
            <w:pPr>
              <w:jc w:val="center"/>
            </w:pPr>
            <w:r>
              <w:rPr>
                <w:rFonts w:ascii="Times New Roman" w:hAnsi="Times New Roman"/>
                <w:sz w:val="16"/>
              </w:rPr>
              <w:t>0.5971</w:t>
            </w:r>
          </w:p>
        </w:tc>
      </w:tr>
      <w:tr>
        <w:tc>
          <w:tcPr>
            <w:tcW w:type="dxa" w:w="1740"/>
          </w:tcPr>
          <w:p>
            <w:pPr>
              <w:jc w:val="left"/>
            </w:pPr>
            <w:r>
              <w:rPr>
                <w:rFonts w:ascii="Times New Roman" w:hAnsi="Times New Roman"/>
                <w:sz w:val="16"/>
              </w:rPr>
              <w:t>Local illumination</w:t>
            </w:r>
          </w:p>
        </w:tc>
        <w:tc>
          <w:tcPr>
            <w:tcW w:type="dxa" w:w="1740"/>
          </w:tcPr>
          <w:p>
            <w:pPr>
              <w:jc w:val="center"/>
            </w:pPr>
            <w:r>
              <w:rPr>
                <w:rFonts w:ascii="Times New Roman" w:hAnsi="Times New Roman"/>
                <w:sz w:val="16"/>
              </w:rPr>
              <w:t>100</w:t>
            </w:r>
          </w:p>
        </w:tc>
        <w:tc>
          <w:tcPr>
            <w:tcW w:type="dxa" w:w="1740"/>
          </w:tcPr>
          <w:p>
            <w:pPr>
              <w:jc w:val="center"/>
            </w:pPr>
            <w:r>
              <w:rPr>
                <w:rFonts w:ascii="Times New Roman" w:hAnsi="Times New Roman"/>
                <w:sz w:val="16"/>
              </w:rPr>
              <w:t>0.2515</w:t>
            </w:r>
          </w:p>
        </w:tc>
        <w:tc>
          <w:tcPr>
            <w:tcW w:type="dxa" w:w="1740"/>
          </w:tcPr>
          <w:p>
            <w:pPr>
              <w:jc w:val="center"/>
            </w:pPr>
            <w:r>
              <w:rPr>
                <w:rFonts w:ascii="Times New Roman" w:hAnsi="Times New Roman"/>
                <w:sz w:val="16"/>
              </w:rPr>
              <w:t>0.3235</w:t>
            </w:r>
          </w:p>
        </w:tc>
        <w:tc>
          <w:tcPr>
            <w:tcW w:type="dxa" w:w="1740"/>
          </w:tcPr>
          <w:p>
            <w:pPr>
              <w:jc w:val="center"/>
            </w:pPr>
            <w:r>
              <w:rPr>
                <w:rFonts w:ascii="Times New Roman" w:hAnsi="Times New Roman"/>
                <w:sz w:val="16"/>
              </w:rPr>
              <w:t>0.4210</w:t>
            </w:r>
          </w:p>
        </w:tc>
        <w:tc>
          <w:tcPr>
            <w:tcW w:type="dxa" w:w="1740"/>
          </w:tcPr>
          <w:p>
            <w:pPr>
              <w:jc w:val="center"/>
            </w:pPr>
            <w:r>
              <w:rPr>
                <w:rFonts w:ascii="Times New Roman" w:hAnsi="Times New Roman"/>
                <w:sz w:val="16"/>
              </w:rPr>
              <w:t>0.2625</w:t>
            </w:r>
          </w:p>
        </w:tc>
      </w:tr>
      <w:tr>
        <w:tc>
          <w:tcPr>
            <w:tcW w:type="dxa" w:w="1740"/>
          </w:tcPr>
          <w:p>
            <w:pPr>
              <w:jc w:val="left"/>
            </w:pPr>
            <w:r>
              <w:rPr>
                <w:rFonts w:ascii="Times New Roman" w:hAnsi="Times New Roman"/>
                <w:sz w:val="16"/>
              </w:rPr>
              <w:t>Clipping</w:t>
            </w:r>
          </w:p>
        </w:tc>
        <w:tc>
          <w:tcPr>
            <w:tcW w:type="dxa" w:w="1740"/>
          </w:tcPr>
          <w:p>
            <w:pPr>
              <w:jc w:val="center"/>
            </w:pPr>
            <w:r>
              <w:rPr>
                <w:rFonts w:ascii="Times New Roman" w:hAnsi="Times New Roman"/>
                <w:sz w:val="16"/>
              </w:rPr>
              <w:t>100</w:t>
            </w:r>
          </w:p>
        </w:tc>
        <w:tc>
          <w:tcPr>
            <w:tcW w:type="dxa" w:w="1740"/>
          </w:tcPr>
          <w:p>
            <w:pPr>
              <w:jc w:val="center"/>
            </w:pPr>
            <w:r>
              <w:rPr>
                <w:rFonts w:ascii="Times New Roman" w:hAnsi="Times New Roman"/>
                <w:sz w:val="16"/>
              </w:rPr>
              <w:t>0.0762</w:t>
            </w:r>
          </w:p>
        </w:tc>
        <w:tc>
          <w:tcPr>
            <w:tcW w:type="dxa" w:w="1740"/>
          </w:tcPr>
          <w:p>
            <w:pPr>
              <w:jc w:val="center"/>
            </w:pPr>
            <w:r>
              <w:rPr>
                <w:rFonts w:ascii="Times New Roman" w:hAnsi="Times New Roman"/>
                <w:sz w:val="16"/>
              </w:rPr>
              <w:t>0.0880</w:t>
            </w:r>
          </w:p>
        </w:tc>
        <w:tc>
          <w:tcPr>
            <w:tcW w:type="dxa" w:w="1740"/>
          </w:tcPr>
          <w:p>
            <w:pPr>
              <w:jc w:val="center"/>
            </w:pPr>
            <w:r>
              <w:rPr>
                <w:rFonts w:ascii="Times New Roman" w:hAnsi="Times New Roman"/>
                <w:sz w:val="16"/>
              </w:rPr>
              <w:t>0.2967</w:t>
            </w:r>
          </w:p>
        </w:tc>
        <w:tc>
          <w:tcPr>
            <w:tcW w:type="dxa" w:w="1740"/>
          </w:tcPr>
          <w:p>
            <w:pPr>
              <w:jc w:val="center"/>
            </w:pPr>
            <w:r>
              <w:rPr>
                <w:rFonts w:ascii="Times New Roman" w:hAnsi="Times New Roman"/>
                <w:sz w:val="16"/>
              </w:rPr>
              <w:t>0.0822</w:t>
            </w:r>
          </w:p>
        </w:tc>
      </w:tr>
      <w:tr>
        <w:tc>
          <w:tcPr>
            <w:tcW w:type="dxa" w:w="1740"/>
          </w:tcPr>
          <w:p>
            <w:pPr>
              <w:jc w:val="left"/>
            </w:pPr>
            <w:r>
              <w:rPr>
                <w:rFonts w:ascii="Times New Roman" w:hAnsi="Times New Roman"/>
                <w:sz w:val="16"/>
              </w:rPr>
              <w:t>Macro Average</w:t>
            </w:r>
          </w:p>
        </w:tc>
        <w:tc>
          <w:tcPr>
            <w:tcW w:type="dxa" w:w="1740"/>
          </w:tcPr>
          <w:p>
            <w:pPr>
              <w:jc w:val="center"/>
            </w:pPr>
            <w:r>
              <w:rPr>
                <w:rFonts w:ascii="Times New Roman" w:hAnsi="Times New Roman"/>
                <w:sz w:val="16"/>
              </w:rPr>
              <w:t>500</w:t>
            </w:r>
          </w:p>
        </w:tc>
        <w:tc>
          <w:tcPr>
            <w:tcW w:type="dxa" w:w="1740"/>
          </w:tcPr>
          <w:p>
            <w:pPr>
              <w:jc w:val="center"/>
            </w:pPr>
            <w:r>
              <w:rPr>
                <w:rFonts w:ascii="Times New Roman" w:hAnsi="Times New Roman"/>
                <w:sz w:val="16"/>
              </w:rPr>
              <w:t>0.4454</w:t>
            </w:r>
          </w:p>
        </w:tc>
        <w:tc>
          <w:tcPr>
            <w:tcW w:type="dxa" w:w="1740"/>
          </w:tcPr>
          <w:p>
            <w:pPr>
              <w:jc w:val="center"/>
            </w:pPr>
            <w:r>
              <w:rPr>
                <w:rFonts w:ascii="Times New Roman" w:hAnsi="Times New Roman"/>
                <w:sz w:val="16"/>
              </w:rPr>
              <w:t>0.5103</w:t>
            </w:r>
          </w:p>
        </w:tc>
        <w:tc>
          <w:tcPr>
            <w:tcW w:type="dxa" w:w="1740"/>
          </w:tcPr>
          <w:p>
            <w:pPr>
              <w:jc w:val="center"/>
            </w:pPr>
            <w:r>
              <w:rPr>
                <w:rFonts w:ascii="Times New Roman" w:hAnsi="Times New Roman"/>
                <w:sz w:val="16"/>
              </w:rPr>
              <w:t>0.5925</w:t>
            </w:r>
          </w:p>
        </w:tc>
        <w:tc>
          <w:tcPr>
            <w:tcW w:type="dxa" w:w="1740"/>
          </w:tcPr>
          <w:p>
            <w:pPr>
              <w:jc w:val="center"/>
            </w:pPr>
            <w:r>
              <w:rPr>
                <w:rFonts w:ascii="Times New Roman" w:hAnsi="Times New Roman"/>
                <w:sz w:val="16"/>
              </w:rPr>
              <w:t>0.4983</w:t>
            </w:r>
          </w:p>
        </w:tc>
      </w:tr>
    </w:tbl>
    <w:p>
      <w:pPr>
        <w:spacing w:before="0" w:after="40"/>
      </w:pPr>
    </w:p>
    <w:p>
      <w:pPr>
        <w:spacing w:after="120" w:before="0"/>
        <w:jc w:val="center"/>
      </w:pPr>
      <w:r>
        <w:rPr>
          <w:rFonts w:ascii="Times New Roman" w:hAnsi="Times New Roman"/>
          <w:b w:val="0"/>
          <w:i w:val="0"/>
          <w:sz w:val="16"/>
        </w:rPr>
        <w:t>TABLE V: Model-Derived Suspicious-Region Localization Precision (500 Synthetic Masks).</w:t>
      </w:r>
    </w:p>
    <w:p>
      <w:pPr>
        <w:spacing w:before="120" w:after="40"/>
        <w:jc w:val="left"/>
      </w:pPr>
      <w:r>
        <w:rPr>
          <w:rFonts w:ascii="Times New Roman" w:hAnsi="Times New Roman"/>
          <w:i/>
          <w:sz w:val="20"/>
        </w:rPr>
        <w:t>F. Evidence, Abstention, Novelty (Claim 6)</w:t>
      </w:r>
    </w:p>
    <w:p>
      <w:pPr>
        <w:spacing w:after="80" w:before="0"/>
        <w:jc w:val="both"/>
      </w:pPr>
      <w:r>
        <w:rPr>
          <w:rFonts w:ascii="Times New Roman" w:hAnsi="Times New Roman"/>
          <w:b w:val="0"/>
          <w:i w:val="0"/>
          <w:sz w:val="20"/>
        </w:rPr>
        <w:t>Table VI(b) shows that, for the evaluated cohort of 55 queries (110 evidence items), required fields, same-specimen cross-acquisition evidence, cross-instrument evidence, and quality compatibility were each available for 100.0% of queries, with zero duplicate evidence and zero missing provenance. Selective prediction (Table VI(a)) trades coverage for accuracy: at tau = 0.4 coverage is 29.73% with 99.08% accuracy, and 100% accuracy needs 90.27% abstention at tau = 0.6. Calibration shows ECE 0.3333 and Brier 0.4821; confidence is a routing triage signal, not a calibrated probability.</w:t>
      </w:r>
    </w:p>
    <w:tbl>
      <w:tblPr>
        <w:tblW w:type="auto" w:w="0"/>
        <w:jc w:val="center"/>
        <w:tblLook w:firstColumn="1" w:firstRow="1" w:lastColumn="0" w:lastRow="0" w:noHBand="0" w:noVBand="1" w:val="04A0"/>
      </w:tblPr>
      <w:tblGrid>
        <w:gridCol w:w="1740"/>
        <w:gridCol w:w="1740"/>
        <w:gridCol w:w="1740"/>
        <w:gridCol w:w="1740"/>
        <w:gridCol w:w="1740"/>
        <w:gridCol w:w="1740"/>
      </w:tblGrid>
      <w:tr>
        <w:tc>
          <w:tcPr>
            <w:tcW w:type="dxa" w:w="1740"/>
            <w:shd w:fill="F1F5F9"/>
          </w:tcPr>
          <w:p>
            <w:pPr>
              <w:jc w:val="center"/>
            </w:pPr>
            <w:r>
              <w:rPr>
                <w:rFonts w:ascii="Times New Roman" w:hAnsi="Times New Roman"/>
                <w:b/>
                <w:sz w:val="16"/>
              </w:rPr>
              <w:t>Threshold tau</w:t>
            </w:r>
          </w:p>
        </w:tc>
        <w:tc>
          <w:tcPr>
            <w:tcW w:type="dxa" w:w="1740"/>
            <w:shd w:fill="F1F5F9"/>
          </w:tcPr>
          <w:p>
            <w:pPr>
              <w:jc w:val="center"/>
            </w:pPr>
            <w:r>
              <w:rPr>
                <w:rFonts w:ascii="Times New Roman" w:hAnsi="Times New Roman"/>
                <w:b/>
                <w:sz w:val="16"/>
              </w:rPr>
              <w:t>Coverage</w:t>
            </w:r>
          </w:p>
        </w:tc>
        <w:tc>
          <w:tcPr>
            <w:tcW w:type="dxa" w:w="1740"/>
            <w:shd w:fill="F1F5F9"/>
          </w:tcPr>
          <w:p>
            <w:pPr>
              <w:jc w:val="center"/>
            </w:pPr>
            <w:r>
              <w:rPr>
                <w:rFonts w:ascii="Times New Roman" w:hAnsi="Times New Roman"/>
                <w:b/>
                <w:sz w:val="16"/>
              </w:rPr>
              <w:t>Selective Acc.</w:t>
            </w:r>
          </w:p>
        </w:tc>
        <w:tc>
          <w:tcPr>
            <w:tcW w:type="dxa" w:w="1740"/>
            <w:shd w:fill="F1F5F9"/>
          </w:tcPr>
          <w:p>
            <w:pPr>
              <w:jc w:val="center"/>
            </w:pPr>
            <w:r>
              <w:rPr>
                <w:rFonts w:ascii="Times New Roman" w:hAnsi="Times New Roman"/>
                <w:b/>
                <w:sz w:val="16"/>
              </w:rPr>
              <w:t>Abstention</w:t>
            </w:r>
          </w:p>
        </w:tc>
        <w:tc>
          <w:tcPr>
            <w:tcW w:type="dxa" w:w="1740"/>
            <w:shd w:fill="F1F5F9"/>
          </w:tcPr>
          <w:p>
            <w:pPr>
              <w:jc w:val="center"/>
            </w:pPr>
            <w:r>
              <w:rPr>
                <w:rFonts w:ascii="Times New Roman" w:hAnsi="Times New Roman"/>
                <w:b/>
                <w:sz w:val="16"/>
              </w:rPr>
              <w:t>Cohort Parameter</w:t>
            </w:r>
          </w:p>
        </w:tc>
        <w:tc>
          <w:tcPr>
            <w:tcW w:type="dxa" w:w="1740"/>
            <w:shd w:fill="F1F5F9"/>
          </w:tcPr>
          <w:p>
            <w:pPr>
              <w:jc w:val="center"/>
            </w:pPr>
            <w:r>
              <w:rPr>
                <w:rFonts w:ascii="Times New Roman" w:hAnsi="Times New Roman"/>
                <w:b/>
                <w:sz w:val="16"/>
              </w:rPr>
              <w:t>Value</w:t>
            </w:r>
          </w:p>
        </w:tc>
      </w:tr>
      <w:tr>
        <w:tc>
          <w:tcPr>
            <w:tcW w:type="dxa" w:w="1740"/>
          </w:tcPr>
          <w:p>
            <w:pPr>
              <w:jc w:val="left"/>
            </w:pPr>
            <w:r>
              <w:rPr>
                <w:rFonts w:ascii="Times New Roman" w:hAnsi="Times New Roman"/>
                <w:sz w:val="16"/>
              </w:rPr>
              <w:t>0.2</w:t>
            </w:r>
          </w:p>
        </w:tc>
        <w:tc>
          <w:tcPr>
            <w:tcW w:type="dxa" w:w="1740"/>
          </w:tcPr>
          <w:p>
            <w:pPr>
              <w:jc w:val="center"/>
            </w:pPr>
            <w:r>
              <w:rPr>
                <w:rFonts w:ascii="Times New Roman" w:hAnsi="Times New Roman"/>
                <w:sz w:val="16"/>
              </w:rPr>
              <w:t>77.00%</w:t>
            </w:r>
          </w:p>
        </w:tc>
        <w:tc>
          <w:tcPr>
            <w:tcW w:type="dxa" w:w="1740"/>
          </w:tcPr>
          <w:p>
            <w:pPr>
              <w:jc w:val="center"/>
            </w:pPr>
            <w:r>
              <w:rPr>
                <w:rFonts w:ascii="Times New Roman" w:hAnsi="Times New Roman"/>
                <w:sz w:val="16"/>
              </w:rPr>
              <w:t>78.28%</w:t>
            </w:r>
          </w:p>
        </w:tc>
        <w:tc>
          <w:tcPr>
            <w:tcW w:type="dxa" w:w="1740"/>
          </w:tcPr>
          <w:p>
            <w:pPr>
              <w:jc w:val="center"/>
            </w:pPr>
            <w:r>
              <w:rPr>
                <w:rFonts w:ascii="Times New Roman" w:hAnsi="Times New Roman"/>
                <w:sz w:val="16"/>
              </w:rPr>
              <w:t>23.00%</w:t>
            </w:r>
          </w:p>
        </w:tc>
        <w:tc>
          <w:tcPr>
            <w:tcW w:type="dxa" w:w="1740"/>
          </w:tcPr>
          <w:p>
            <w:pPr>
              <w:jc w:val="center"/>
            </w:pPr>
            <w:r>
              <w:rPr>
                <w:rFonts w:ascii="Times New Roman" w:hAnsi="Times New Roman"/>
                <w:sz w:val="16"/>
              </w:rPr>
              <w:t>Valid Evidence Availability</w:t>
            </w:r>
          </w:p>
        </w:tc>
        <w:tc>
          <w:tcPr>
            <w:tcW w:type="dxa" w:w="1740"/>
          </w:tcPr>
          <w:p>
            <w:pPr>
              <w:jc w:val="center"/>
            </w:pPr>
            <w:r>
              <w:rPr>
                <w:rFonts w:ascii="Times New Roman" w:hAnsi="Times New Roman"/>
                <w:sz w:val="16"/>
              </w:rPr>
              <w:t>100.0%</w:t>
            </w:r>
          </w:p>
        </w:tc>
      </w:tr>
      <w:tr>
        <w:tc>
          <w:tcPr>
            <w:tcW w:type="dxa" w:w="1740"/>
          </w:tcPr>
          <w:p>
            <w:pPr>
              <w:jc w:val="left"/>
            </w:pPr>
            <w:r>
              <w:rPr>
                <w:rFonts w:ascii="Times New Roman" w:hAnsi="Times New Roman"/>
                <w:sz w:val="16"/>
              </w:rPr>
              <w:t>0.4</w:t>
            </w:r>
          </w:p>
        </w:tc>
        <w:tc>
          <w:tcPr>
            <w:tcW w:type="dxa" w:w="1740"/>
          </w:tcPr>
          <w:p>
            <w:pPr>
              <w:jc w:val="center"/>
            </w:pPr>
            <w:r>
              <w:rPr>
                <w:rFonts w:ascii="Times New Roman" w:hAnsi="Times New Roman"/>
                <w:sz w:val="16"/>
              </w:rPr>
              <w:t>29.73%</w:t>
            </w:r>
          </w:p>
        </w:tc>
        <w:tc>
          <w:tcPr>
            <w:tcW w:type="dxa" w:w="1740"/>
          </w:tcPr>
          <w:p>
            <w:pPr>
              <w:jc w:val="center"/>
            </w:pPr>
            <w:r>
              <w:rPr>
                <w:rFonts w:ascii="Times New Roman" w:hAnsi="Times New Roman"/>
                <w:sz w:val="16"/>
              </w:rPr>
              <w:t>99.08%</w:t>
            </w:r>
          </w:p>
        </w:tc>
        <w:tc>
          <w:tcPr>
            <w:tcW w:type="dxa" w:w="1740"/>
          </w:tcPr>
          <w:p>
            <w:pPr>
              <w:jc w:val="center"/>
            </w:pPr>
            <w:r>
              <w:rPr>
                <w:rFonts w:ascii="Times New Roman" w:hAnsi="Times New Roman"/>
                <w:sz w:val="16"/>
              </w:rPr>
              <w:t>70.27%</w:t>
            </w:r>
          </w:p>
        </w:tc>
        <w:tc>
          <w:tcPr>
            <w:tcW w:type="dxa" w:w="1740"/>
          </w:tcPr>
          <w:p>
            <w:pPr>
              <w:jc w:val="center"/>
            </w:pPr>
            <w:r>
              <w:rPr>
                <w:rFonts w:ascii="Times New Roman" w:hAnsi="Times New Roman"/>
                <w:sz w:val="16"/>
              </w:rPr>
              <w:t>Same-Specimen Cross-Acq.</w:t>
            </w:r>
          </w:p>
        </w:tc>
        <w:tc>
          <w:tcPr>
            <w:tcW w:type="dxa" w:w="1740"/>
          </w:tcPr>
          <w:p>
            <w:pPr>
              <w:jc w:val="center"/>
            </w:pPr>
            <w:r>
              <w:rPr>
                <w:rFonts w:ascii="Times New Roman" w:hAnsi="Times New Roman"/>
                <w:sz w:val="16"/>
              </w:rPr>
              <w:t>100.0%</w:t>
            </w:r>
          </w:p>
        </w:tc>
      </w:tr>
      <w:tr>
        <w:tc>
          <w:tcPr>
            <w:tcW w:type="dxa" w:w="1740"/>
          </w:tcPr>
          <w:p>
            <w:pPr>
              <w:jc w:val="left"/>
            </w:pPr>
            <w:r>
              <w:rPr>
                <w:rFonts w:ascii="Times New Roman" w:hAnsi="Times New Roman"/>
                <w:sz w:val="16"/>
              </w:rPr>
              <w:t>0.6</w:t>
            </w:r>
          </w:p>
        </w:tc>
        <w:tc>
          <w:tcPr>
            <w:tcW w:type="dxa" w:w="1740"/>
          </w:tcPr>
          <w:p>
            <w:pPr>
              <w:jc w:val="center"/>
            </w:pPr>
            <w:r>
              <w:rPr>
                <w:rFonts w:ascii="Times New Roman" w:hAnsi="Times New Roman"/>
                <w:sz w:val="16"/>
              </w:rPr>
              <w:t>9.73%</w:t>
            </w:r>
          </w:p>
        </w:tc>
        <w:tc>
          <w:tcPr>
            <w:tcW w:type="dxa" w:w="1740"/>
          </w:tcPr>
          <w:p>
            <w:pPr>
              <w:jc w:val="center"/>
            </w:pPr>
            <w:r>
              <w:rPr>
                <w:rFonts w:ascii="Times New Roman" w:hAnsi="Times New Roman"/>
                <w:sz w:val="16"/>
              </w:rPr>
              <w:t>100.00%</w:t>
            </w:r>
          </w:p>
        </w:tc>
        <w:tc>
          <w:tcPr>
            <w:tcW w:type="dxa" w:w="1740"/>
          </w:tcPr>
          <w:p>
            <w:pPr>
              <w:jc w:val="center"/>
            </w:pPr>
            <w:r>
              <w:rPr>
                <w:rFonts w:ascii="Times New Roman" w:hAnsi="Times New Roman"/>
                <w:sz w:val="16"/>
              </w:rPr>
              <w:t>90.27%</w:t>
            </w:r>
          </w:p>
        </w:tc>
        <w:tc>
          <w:tcPr>
            <w:tcW w:type="dxa" w:w="1740"/>
          </w:tcPr>
          <w:p>
            <w:pPr>
              <w:jc w:val="center"/>
            </w:pPr>
            <w:r>
              <w:rPr>
                <w:rFonts w:ascii="Times New Roman" w:hAnsi="Times New Roman"/>
                <w:sz w:val="16"/>
              </w:rPr>
              <w:t>Cross-Instrument Evidence</w:t>
            </w:r>
          </w:p>
        </w:tc>
        <w:tc>
          <w:tcPr>
            <w:tcW w:type="dxa" w:w="1740"/>
          </w:tcPr>
          <w:p>
            <w:pPr>
              <w:jc w:val="center"/>
            </w:pPr>
            <w:r>
              <w:rPr>
                <w:rFonts w:ascii="Times New Roman" w:hAnsi="Times New Roman"/>
                <w:sz w:val="16"/>
              </w:rPr>
              <w:t>100.0%</w:t>
            </w:r>
          </w:p>
        </w:tc>
      </w:tr>
      <w:tr>
        <w:tc>
          <w:tcPr>
            <w:tcW w:type="dxa" w:w="1740"/>
          </w:tcPr>
          <w:p>
            <w:pPr>
              <w:jc w:val="left"/>
            </w:pPr>
            <w:r>
              <w:rPr>
                <w:rFonts w:ascii="Times New Roman" w:hAnsi="Times New Roman"/>
                <w:sz w:val="16"/>
              </w:rPr>
              <w:t>–</w:t>
            </w:r>
          </w:p>
        </w:tc>
        <w:tc>
          <w:tcPr>
            <w:tcW w:type="dxa" w:w="1740"/>
          </w:tcPr>
          <w:p>
            <w:pPr>
              <w:jc w:val="center"/>
            </w:pPr>
            <w:r>
              <w:rPr>
                <w:rFonts w:ascii="Times New Roman" w:hAnsi="Times New Roman"/>
                <w:sz w:val="16"/>
              </w:rPr>
              <w:t>–</w:t>
            </w:r>
          </w:p>
        </w:tc>
        <w:tc>
          <w:tcPr>
            <w:tcW w:type="dxa" w:w="1740"/>
          </w:tcPr>
          <w:p>
            <w:pPr>
              <w:jc w:val="center"/>
            </w:pPr>
            <w:r>
              <w:rPr>
                <w:rFonts w:ascii="Times New Roman" w:hAnsi="Times New Roman"/>
                <w:sz w:val="16"/>
              </w:rPr>
              <w:t>–</w:t>
            </w:r>
          </w:p>
        </w:tc>
        <w:tc>
          <w:tcPr>
            <w:tcW w:type="dxa" w:w="1740"/>
          </w:tcPr>
          <w:p>
            <w:pPr>
              <w:jc w:val="center"/>
            </w:pPr>
            <w:r>
              <w:rPr>
                <w:rFonts w:ascii="Times New Roman" w:hAnsi="Times New Roman"/>
                <w:sz w:val="16"/>
              </w:rPr>
              <w:t>–</w:t>
            </w:r>
          </w:p>
        </w:tc>
        <w:tc>
          <w:tcPr>
            <w:tcW w:type="dxa" w:w="1740"/>
          </w:tcPr>
          <w:p>
            <w:pPr>
              <w:jc w:val="center"/>
            </w:pPr>
            <w:r>
              <w:rPr>
                <w:rFonts w:ascii="Times New Roman" w:hAnsi="Times New Roman"/>
                <w:sz w:val="16"/>
              </w:rPr>
              <w:t>Zero Duplicate Evidence</w:t>
            </w:r>
          </w:p>
        </w:tc>
        <w:tc>
          <w:tcPr>
            <w:tcW w:type="dxa" w:w="1740"/>
          </w:tcPr>
          <w:p>
            <w:pPr>
              <w:jc w:val="center"/>
            </w:pPr>
            <w:r>
              <w:rPr>
                <w:rFonts w:ascii="Times New Roman" w:hAnsi="Times New Roman"/>
                <w:sz w:val="16"/>
              </w:rPr>
              <w:t>0.0%</w:t>
            </w:r>
          </w:p>
        </w:tc>
      </w:tr>
      <w:tr>
        <w:tc>
          <w:tcPr>
            <w:tcW w:type="dxa" w:w="1740"/>
          </w:tcPr>
          <w:p>
            <w:pPr>
              <w:jc w:val="left"/>
            </w:pPr>
            <w:r>
              <w:rPr>
                <w:rFonts w:ascii="Times New Roman" w:hAnsi="Times New Roman"/>
                <w:sz w:val="16"/>
              </w:rPr>
              <w:t>–</w:t>
            </w:r>
          </w:p>
        </w:tc>
        <w:tc>
          <w:tcPr>
            <w:tcW w:type="dxa" w:w="1740"/>
          </w:tcPr>
          <w:p>
            <w:pPr>
              <w:jc w:val="center"/>
            </w:pPr>
            <w:r>
              <w:rPr>
                <w:rFonts w:ascii="Times New Roman" w:hAnsi="Times New Roman"/>
                <w:sz w:val="16"/>
              </w:rPr>
              <w:t>–</w:t>
            </w:r>
          </w:p>
        </w:tc>
        <w:tc>
          <w:tcPr>
            <w:tcW w:type="dxa" w:w="1740"/>
          </w:tcPr>
          <w:p>
            <w:pPr>
              <w:jc w:val="center"/>
            </w:pPr>
            <w:r>
              <w:rPr>
                <w:rFonts w:ascii="Times New Roman" w:hAnsi="Times New Roman"/>
                <w:sz w:val="16"/>
              </w:rPr>
              <w:t>–</w:t>
            </w:r>
          </w:p>
        </w:tc>
        <w:tc>
          <w:tcPr>
            <w:tcW w:type="dxa" w:w="1740"/>
          </w:tcPr>
          <w:p>
            <w:pPr>
              <w:jc w:val="center"/>
            </w:pPr>
            <w:r>
              <w:rPr>
                <w:rFonts w:ascii="Times New Roman" w:hAnsi="Times New Roman"/>
                <w:sz w:val="16"/>
              </w:rPr>
              <w:t>–</w:t>
            </w:r>
          </w:p>
        </w:tc>
        <w:tc>
          <w:tcPr>
            <w:tcW w:type="dxa" w:w="1740"/>
          </w:tcPr>
          <w:p>
            <w:pPr>
              <w:jc w:val="center"/>
            </w:pPr>
            <w:r>
              <w:rPr>
                <w:rFonts w:ascii="Times New Roman" w:hAnsi="Times New Roman"/>
                <w:sz w:val="16"/>
              </w:rPr>
              <w:t>Mean Evidence Items / Query</w:t>
            </w:r>
          </w:p>
        </w:tc>
        <w:tc>
          <w:tcPr>
            <w:tcW w:type="dxa" w:w="1740"/>
          </w:tcPr>
          <w:p>
            <w:pPr>
              <w:jc w:val="center"/>
            </w:pPr>
            <w:r>
              <w:rPr>
                <w:rFonts w:ascii="Times New Roman" w:hAnsi="Times New Roman"/>
                <w:sz w:val="16"/>
              </w:rPr>
              <w:t>2.0 (N=55)</w:t>
            </w:r>
          </w:p>
        </w:tc>
      </w:tr>
    </w:tbl>
    <w:p>
      <w:pPr>
        <w:spacing w:before="0" w:after="40"/>
      </w:pPr>
    </w:p>
    <w:p>
      <w:pPr>
        <w:spacing w:after="120" w:before="0"/>
        <w:jc w:val="center"/>
      </w:pPr>
      <w:r>
        <w:rPr>
          <w:rFonts w:ascii="Times New Roman" w:hAnsi="Times New Roman"/>
          <w:b w:val="0"/>
          <w:i w:val="0"/>
          <w:sz w:val="16"/>
        </w:rPr>
        <w:t>TABLE VI: Selective Prediction Coverage-Accuracy &amp; Evidence Availability Cohort (N=55).</w:t>
      </w:r>
    </w:p>
    <w:p>
      <w:pPr>
        <w:spacing w:before="120" w:after="40"/>
        <w:jc w:val="left"/>
      </w:pPr>
      <w:r>
        <w:rPr>
          <w:rFonts w:ascii="Times New Roman" w:hAnsi="Times New Roman"/>
          <w:i/>
          <w:sz w:val="20"/>
        </w:rPr>
        <w:t>G. Latency (Claim 7)</w:t>
      </w:r>
    </w:p>
    <w:p>
      <w:pPr>
        <w:spacing w:after="80" w:before="0"/>
        <w:jc w:val="both"/>
      </w:pPr>
      <w:r>
        <w:rPr>
          <w:rFonts w:ascii="Times New Roman" w:hAnsi="Times New Roman"/>
          <w:b w:val="0"/>
          <w:i w:val="0"/>
          <w:sz w:val="20"/>
        </w:rPr>
        <w:t>Table VII gives the audited per-stage profile: 23.40 ms mean and 28.30 ms P95 per image on a CPU testbed, with localization the largest stage (8.84 ms). A second raw stage-timing log records a 46.00 ms mean; we claim tens of milliseconds per image on CPU, not real-time guarantees, and GPU latency was not profiled.</w:t>
      </w:r>
    </w:p>
    <w:tbl>
      <w:tblPr>
        <w:tblW w:type="auto" w:w="0"/>
        <w:jc w:val="center"/>
        <w:tblLook w:firstColumn="1" w:firstRow="1" w:lastColumn="0" w:lastRow="0" w:noHBand="0" w:noVBand="1" w:val="04A0"/>
      </w:tblPr>
      <w:tblGrid>
        <w:gridCol w:w="3480"/>
        <w:gridCol w:w="3480"/>
        <w:gridCol w:w="3480"/>
      </w:tblGrid>
      <w:tr>
        <w:tc>
          <w:tcPr>
            <w:tcW w:type="dxa" w:w="3480"/>
            <w:shd w:fill="F1F5F9"/>
          </w:tcPr>
          <w:p>
            <w:pPr>
              <w:jc w:val="center"/>
            </w:pPr>
            <w:r>
              <w:rPr>
                <w:rFonts w:ascii="Times New Roman" w:hAnsi="Times New Roman"/>
                <w:b/>
                <w:sz w:val="16"/>
              </w:rPr>
              <w:t>Pipeline Execution Stage</w:t>
            </w:r>
          </w:p>
        </w:tc>
        <w:tc>
          <w:tcPr>
            <w:tcW w:type="dxa" w:w="3480"/>
            <w:shd w:fill="F1F5F9"/>
          </w:tcPr>
          <w:p>
            <w:pPr>
              <w:jc w:val="center"/>
            </w:pPr>
            <w:r>
              <w:rPr>
                <w:rFonts w:ascii="Times New Roman" w:hAnsi="Times New Roman"/>
                <w:b/>
                <w:sz w:val="16"/>
              </w:rPr>
              <w:t>Mean Latency (ms)</w:t>
            </w:r>
          </w:p>
        </w:tc>
        <w:tc>
          <w:tcPr>
            <w:tcW w:type="dxa" w:w="3480"/>
            <w:shd w:fill="F1F5F9"/>
          </w:tcPr>
          <w:p>
            <w:pPr>
              <w:jc w:val="center"/>
            </w:pPr>
            <w:r>
              <w:rPr>
                <w:rFonts w:ascii="Times New Roman" w:hAnsi="Times New Roman"/>
                <w:b/>
                <w:sz w:val="16"/>
              </w:rPr>
              <w:t>P95 Latency (ms)</w:t>
            </w:r>
          </w:p>
        </w:tc>
      </w:tr>
      <w:tr>
        <w:tc>
          <w:tcPr>
            <w:tcW w:type="dxa" w:w="3480"/>
          </w:tcPr>
          <w:p>
            <w:pPr>
              <w:jc w:val="left"/>
            </w:pPr>
            <w:r>
              <w:rPr>
                <w:rFonts w:ascii="Times New Roman" w:hAnsi="Times New Roman"/>
                <w:sz w:val="16"/>
              </w:rPr>
              <w:t>Image Preprocessing &amp; Hash Validation</w:t>
            </w:r>
          </w:p>
        </w:tc>
        <w:tc>
          <w:tcPr>
            <w:tcW w:type="dxa" w:w="3480"/>
          </w:tcPr>
          <w:p>
            <w:pPr>
              <w:jc w:val="center"/>
            </w:pPr>
            <w:r>
              <w:rPr>
                <w:rFonts w:ascii="Times New Roman" w:hAnsi="Times New Roman"/>
                <w:sz w:val="16"/>
              </w:rPr>
              <w:t>0.35</w:t>
            </w:r>
          </w:p>
        </w:tc>
        <w:tc>
          <w:tcPr>
            <w:tcW w:type="dxa" w:w="3480"/>
          </w:tcPr>
          <w:p>
            <w:pPr>
              <w:jc w:val="center"/>
            </w:pPr>
            <w:r>
              <w:rPr>
                <w:rFonts w:ascii="Times New Roman" w:hAnsi="Times New Roman"/>
                <w:sz w:val="16"/>
              </w:rPr>
              <w:t>0.48</w:t>
            </w:r>
          </w:p>
        </w:tc>
      </w:tr>
      <w:tr>
        <w:tc>
          <w:tcPr>
            <w:tcW w:type="dxa" w:w="3480"/>
          </w:tcPr>
          <w:p>
            <w:pPr>
              <w:jc w:val="left"/>
            </w:pPr>
            <w:r>
              <w:rPr>
                <w:rFonts w:ascii="Times New Roman" w:hAnsi="Times New Roman"/>
                <w:sz w:val="16"/>
              </w:rPr>
              <w:t>Dual Representation Extraction (384-d)</w:t>
            </w:r>
          </w:p>
        </w:tc>
        <w:tc>
          <w:tcPr>
            <w:tcW w:type="dxa" w:w="3480"/>
          </w:tcPr>
          <w:p>
            <w:pPr>
              <w:jc w:val="center"/>
            </w:pPr>
            <w:r>
              <w:rPr>
                <w:rFonts w:ascii="Times New Roman" w:hAnsi="Times New Roman"/>
                <w:sz w:val="16"/>
              </w:rPr>
              <w:t>3.12</w:t>
            </w:r>
          </w:p>
        </w:tc>
        <w:tc>
          <w:tcPr>
            <w:tcW w:type="dxa" w:w="3480"/>
          </w:tcPr>
          <w:p>
            <w:pPr>
              <w:jc w:val="center"/>
            </w:pPr>
            <w:r>
              <w:rPr>
                <w:rFonts w:ascii="Times New Roman" w:hAnsi="Times New Roman"/>
                <w:sz w:val="16"/>
              </w:rPr>
              <w:t>3.95</w:t>
            </w:r>
          </w:p>
        </w:tc>
      </w:tr>
      <w:tr>
        <w:tc>
          <w:tcPr>
            <w:tcW w:type="dxa" w:w="3480"/>
          </w:tcPr>
          <w:p>
            <w:pPr>
              <w:jc w:val="left"/>
            </w:pPr>
            <w:r>
              <w:rPr>
                <w:rFonts w:ascii="Times New Roman" w:hAnsi="Times New Roman"/>
                <w:sz w:val="16"/>
              </w:rPr>
              <w:t>Quality-Risk Screening</w:t>
            </w:r>
          </w:p>
        </w:tc>
        <w:tc>
          <w:tcPr>
            <w:tcW w:type="dxa" w:w="3480"/>
          </w:tcPr>
          <w:p>
            <w:pPr>
              <w:jc w:val="center"/>
            </w:pPr>
            <w:r>
              <w:rPr>
                <w:rFonts w:ascii="Times New Roman" w:hAnsi="Times New Roman"/>
                <w:sz w:val="16"/>
              </w:rPr>
              <w:t>2.45</w:t>
            </w:r>
          </w:p>
        </w:tc>
        <w:tc>
          <w:tcPr>
            <w:tcW w:type="dxa" w:w="3480"/>
          </w:tcPr>
          <w:p>
            <w:pPr>
              <w:jc w:val="center"/>
            </w:pPr>
            <w:r>
              <w:rPr>
                <w:rFonts w:ascii="Times New Roman" w:hAnsi="Times New Roman"/>
                <w:sz w:val="16"/>
              </w:rPr>
              <w:t>3.10</w:t>
            </w:r>
          </w:p>
        </w:tc>
      </w:tr>
      <w:tr>
        <w:tc>
          <w:tcPr>
            <w:tcW w:type="dxa" w:w="3480"/>
          </w:tcPr>
          <w:p>
            <w:pPr>
              <w:jc w:val="left"/>
            </w:pPr>
            <w:r>
              <w:rPr>
                <w:rFonts w:ascii="Times New Roman" w:hAnsi="Times New Roman"/>
                <w:sz w:val="16"/>
              </w:rPr>
              <w:t>Spatial Suspicious-Region Localization</w:t>
            </w:r>
          </w:p>
        </w:tc>
        <w:tc>
          <w:tcPr>
            <w:tcW w:type="dxa" w:w="3480"/>
          </w:tcPr>
          <w:p>
            <w:pPr>
              <w:jc w:val="center"/>
            </w:pPr>
            <w:r>
              <w:rPr>
                <w:rFonts w:ascii="Times New Roman" w:hAnsi="Times New Roman"/>
                <w:sz w:val="16"/>
              </w:rPr>
              <w:t>8.84</w:t>
            </w:r>
          </w:p>
        </w:tc>
        <w:tc>
          <w:tcPr>
            <w:tcW w:type="dxa" w:w="3480"/>
          </w:tcPr>
          <w:p>
            <w:pPr>
              <w:jc w:val="center"/>
            </w:pPr>
            <w:r>
              <w:rPr>
                <w:rFonts w:ascii="Times New Roman" w:hAnsi="Times New Roman"/>
                <w:sz w:val="16"/>
              </w:rPr>
              <w:t>11.20</w:t>
            </w:r>
          </w:p>
        </w:tc>
      </w:tr>
      <w:tr>
        <w:tc>
          <w:tcPr>
            <w:tcW w:type="dxa" w:w="3480"/>
          </w:tcPr>
          <w:p>
            <w:pPr>
              <w:jc w:val="left"/>
            </w:pPr>
            <w:r>
              <w:rPr>
                <w:rFonts w:ascii="Times New Roman" w:hAnsi="Times New Roman"/>
                <w:sz w:val="16"/>
              </w:rPr>
              <w:t>Comparable Evidence Retrieval (FAISS)</w:t>
            </w:r>
          </w:p>
        </w:tc>
        <w:tc>
          <w:tcPr>
            <w:tcW w:type="dxa" w:w="3480"/>
          </w:tcPr>
          <w:p>
            <w:pPr>
              <w:jc w:val="center"/>
            </w:pPr>
            <w:r>
              <w:rPr>
                <w:rFonts w:ascii="Times New Roman" w:hAnsi="Times New Roman"/>
                <w:sz w:val="16"/>
              </w:rPr>
              <w:t>4.22</w:t>
            </w:r>
          </w:p>
        </w:tc>
        <w:tc>
          <w:tcPr>
            <w:tcW w:type="dxa" w:w="3480"/>
          </w:tcPr>
          <w:p>
            <w:pPr>
              <w:jc w:val="center"/>
            </w:pPr>
            <w:r>
              <w:rPr>
                <w:rFonts w:ascii="Times New Roman" w:hAnsi="Times New Roman"/>
                <w:sz w:val="16"/>
              </w:rPr>
              <w:t>5.35</w:t>
            </w:r>
          </w:p>
        </w:tc>
      </w:tr>
      <w:tr>
        <w:tc>
          <w:tcPr>
            <w:tcW w:type="dxa" w:w="3480"/>
          </w:tcPr>
          <w:p>
            <w:pPr>
              <w:jc w:val="left"/>
            </w:pPr>
            <w:r>
              <w:rPr>
                <w:rFonts w:ascii="Times New Roman" w:hAnsi="Times New Roman"/>
                <w:sz w:val="16"/>
              </w:rPr>
              <w:t>Evidence Aggregation &amp; Explanation</w:t>
            </w:r>
          </w:p>
        </w:tc>
        <w:tc>
          <w:tcPr>
            <w:tcW w:type="dxa" w:w="3480"/>
          </w:tcPr>
          <w:p>
            <w:pPr>
              <w:jc w:val="center"/>
            </w:pPr>
            <w:r>
              <w:rPr>
                <w:rFonts w:ascii="Times New Roman" w:hAnsi="Times New Roman"/>
                <w:sz w:val="16"/>
              </w:rPr>
              <w:t>4.42</w:t>
            </w:r>
          </w:p>
        </w:tc>
        <w:tc>
          <w:tcPr>
            <w:tcW w:type="dxa" w:w="3480"/>
          </w:tcPr>
          <w:p>
            <w:pPr>
              <w:jc w:val="center"/>
            </w:pPr>
            <w:r>
              <w:rPr>
                <w:rFonts w:ascii="Times New Roman" w:hAnsi="Times New Roman"/>
                <w:sz w:val="16"/>
              </w:rPr>
              <w:t>5.60</w:t>
            </w:r>
          </w:p>
        </w:tc>
      </w:tr>
      <w:tr>
        <w:tc>
          <w:tcPr>
            <w:tcW w:type="dxa" w:w="3480"/>
          </w:tcPr>
          <w:p>
            <w:pPr>
              <w:jc w:val="left"/>
            </w:pPr>
            <w:r>
              <w:rPr>
                <w:rFonts w:ascii="Times New Roman" w:hAnsi="Times New Roman"/>
                <w:sz w:val="16"/>
              </w:rPr>
              <w:t>Total Pipeline Execution (Serial CPU)</w:t>
            </w:r>
          </w:p>
        </w:tc>
        <w:tc>
          <w:tcPr>
            <w:tcW w:type="dxa" w:w="3480"/>
          </w:tcPr>
          <w:p>
            <w:pPr>
              <w:jc w:val="center"/>
            </w:pPr>
            <w:r>
              <w:rPr>
                <w:rFonts w:ascii="Times New Roman" w:hAnsi="Times New Roman"/>
                <w:sz w:val="16"/>
              </w:rPr>
              <w:t>23.40 ms</w:t>
            </w:r>
          </w:p>
        </w:tc>
        <w:tc>
          <w:tcPr>
            <w:tcW w:type="dxa" w:w="3480"/>
          </w:tcPr>
          <w:p>
            <w:pPr>
              <w:jc w:val="center"/>
            </w:pPr>
            <w:r>
              <w:rPr>
                <w:rFonts w:ascii="Times New Roman" w:hAnsi="Times New Roman"/>
                <w:sz w:val="16"/>
              </w:rPr>
              <w:t>28.30 ms</w:t>
            </w:r>
          </w:p>
        </w:tc>
      </w:tr>
    </w:tbl>
    <w:p>
      <w:pPr>
        <w:spacing w:before="0" w:after="40"/>
      </w:pPr>
    </w:p>
    <w:p>
      <w:pPr>
        <w:spacing w:after="120" w:before="0"/>
        <w:jc w:val="center"/>
      </w:pPr>
      <w:r>
        <w:rPr>
          <w:rFonts w:ascii="Times New Roman" w:hAnsi="Times New Roman"/>
          <w:b w:val="0"/>
          <w:i w:val="0"/>
          <w:sz w:val="16"/>
        </w:rPr>
        <w:t>TABLE VII: Audited Serial Pipeline Latency Breakdown.</w:t>
      </w:r>
    </w:p>
    <w:p>
      <w:pPr>
        <w:spacing w:before="200" w:after="80"/>
        <w:jc w:val="center"/>
      </w:pPr>
      <w:r>
        <w:rPr>
          <w:rFonts w:ascii="Times New Roman" w:hAnsi="Times New Roman"/>
          <w:b/>
          <w:sz w:val="20"/>
        </w:rPr>
        <w:t>VI. LIMITATIONS AND THREATS TO VALIDITY</w:t>
      </w:r>
    </w:p>
    <w:p>
      <w:pPr>
        <w:spacing w:after="80" w:before="0"/>
        <w:jc w:val="both"/>
      </w:pPr>
      <w:r>
        <w:rPr>
          <w:rFonts w:ascii="Times New Roman" w:hAnsi="Times New Roman"/>
          <w:b w:val="0"/>
          <w:i w:val="0"/>
          <w:sz w:val="20"/>
        </w:rPr>
        <w:t>Data. All splits share three steel specimens, only one instrument is held out, and training model selection peaked at epoch 1 on a saturated validation set; results show acquisition robustness, not unseen-specimen generalization. HCCI contains only 774 images from one metallurgical system; geological, biological, and 3D FIB-SEM data are untested. Labels. Quality and localization ground truth is synthetic, and charging-like artifacts only approximate real charging. Methods. Localization is a heuristic patch-residual saliency at 16-pixel resolution; the quality probe is linear; late fusion was tested only at score level, and deeper cross-attention fusion remains future work. Trade-off. Adaptation lowers artifact sensitivity, which is why two representations are retained. Deployment. The platform serves a single seed-42 linear adapter, its quality engine is handcrafted rather than the DINOv2 probe, and validation was local. Evidence. The evidence cohort has 55 queries, no expert user study was conducted, and suggested actions are untested on physical microscopes. Latency. CPU-only timing is unreconciled with a second log, and human review may bottleneck high-throughput streams. Duplicates. No labeled benchmark supports the cascade's error rates. Licensing. License metadata for HCCI should be confirmed with the source before redistribution.</w:t>
      </w:r>
    </w:p>
    <w:p>
      <w:pPr>
        <w:spacing w:before="200" w:after="80"/>
        <w:jc w:val="center"/>
      </w:pPr>
      <w:r>
        <w:rPr>
          <w:rFonts w:ascii="Times New Roman" w:hAnsi="Times New Roman"/>
          <w:b/>
          <w:sz w:val="20"/>
        </w:rPr>
        <w:t>VII. CONCLUSION AND FUTURE WORK</w:t>
      </w:r>
    </w:p>
    <w:p>
      <w:pPr>
        <w:spacing w:after="80" w:before="0"/>
        <w:jc w:val="both"/>
      </w:pPr>
      <w:r>
        <w:rPr>
          <w:rFonts w:ascii="Times New Roman" w:hAnsi="Times New Roman"/>
          <w:b w:val="0"/>
          <w:i w:val="0"/>
          <w:sz w:val="20"/>
        </w:rPr>
        <w:t>SCI-INTEL demonstrates that an acquisition-aware adapter shrinks the observed instrument-induced similarity gap by 66.23% on a held-out instrument while a frozen backbone remains the superior artifact screener, and that these two representations are best composed by deterministic, auditable orchestration. The negative result for late metadata fusion and the specialization trade-off prevent futile multimodal engineering. Future work includes held-out specimens and instruments, real expert-labeled defects, cross-attention fusion, 3D FIB-SEM data, and evaluation of suggested actions with domain microscopists.</w:t>
      </w:r>
    </w:p>
    <w:p>
      <w:pPr>
        <w:spacing w:before="200" w:after="80"/>
        <w:jc w:val="center"/>
      </w:pPr>
      <w:r>
        <w:rPr>
          <w:rFonts w:ascii="Times New Roman" w:hAnsi="Times New Roman"/>
          <w:b/>
          <w:sz w:val="20"/>
        </w:rPr>
        <w:t>COMPLIANCE WITH ETHICAL STANDARDS</w:t>
      </w:r>
    </w:p>
    <w:p>
      <w:pPr>
        <w:spacing w:after="80" w:before="0"/>
        <w:jc w:val="both"/>
      </w:pPr>
      <w:r>
        <w:rPr>
          <w:rFonts w:ascii="Times New Roman" w:hAnsi="Times New Roman"/>
          <w:b w:val="0"/>
          <w:i w:val="0"/>
          <w:sz w:val="18"/>
        </w:rPr>
        <w:t>This study utilized publicly available scientific imaging datasets (HCCI bearing steel, Carinthia SEM, and BBBC021 bioimage benchmark) and controlled synthetic augmentations. The research did not involve human subjects, patient data, clinical interventions, or live animal experiments, and therefore did not require institutional review board (IRB) approval.</w:t>
      </w:r>
    </w:p>
    <w:p>
      <w:pPr>
        <w:spacing w:before="200" w:after="80"/>
        <w:jc w:val="center"/>
      </w:pPr>
      <w:r>
        <w:rPr>
          <w:rFonts w:ascii="Times New Roman" w:hAnsi="Times New Roman"/>
          <w:b/>
          <w:sz w:val="20"/>
        </w:rPr>
        <w:t>DISCLOSURES &amp; CONFLICTS OF INTEREST</w:t>
      </w:r>
    </w:p>
    <w:p>
      <w:pPr>
        <w:spacing w:after="80" w:before="0"/>
        <w:jc w:val="both"/>
      </w:pPr>
      <w:r>
        <w:rPr>
          <w:rFonts w:ascii="Times New Roman" w:hAnsi="Times New Roman"/>
          <w:b w:val="0"/>
          <w:i w:val="0"/>
          <w:sz w:val="18"/>
        </w:rPr>
        <w:t>The authors declare that they have no financial or non-financial conflicts of interest. No external commercial funding was received for this study. The authors acknowledge the use of agentic software development assistants for code refactoring, test suite synthesis, and manuscript drafting assistance; final scientific responsibility for all findings, text, and data rests entirely with the authors.</w:t>
      </w:r>
    </w:p>
    <w:p>
      <w:pPr>
        <w:spacing w:before="200" w:after="80"/>
        <w:jc w:val="center"/>
      </w:pPr>
      <w:r>
        <w:rPr>
          <w:rFonts w:ascii="Times New Roman" w:hAnsi="Times New Roman"/>
          <w:b/>
          <w:sz w:val="20"/>
        </w:rPr>
        <w:t>REFERENCES</w:t>
      </w:r>
    </w:p>
    <w:p>
      <w:pPr>
        <w:spacing w:after="40" w:before="0"/>
        <w:jc w:val="both"/>
      </w:pPr>
      <w:r>
        <w:rPr>
          <w:rFonts w:ascii="Times New Roman" w:hAnsi="Times New Roman"/>
          <w:b w:val="0"/>
          <w:i w:val="0"/>
          <w:sz w:val="16"/>
        </w:rPr>
        <w:t>[1] R. M. Haralick, K. Shanmugam, and I. Dinstein, 'Textural features for image classification,' IEEE Trans. Syst., Man, Cybern., vol. SMC-3, no. 6, pp. 610–621, Nov. 1973.</w:t>
      </w:r>
    </w:p>
    <w:p>
      <w:pPr>
        <w:spacing w:after="40" w:before="0"/>
        <w:jc w:val="both"/>
      </w:pPr>
      <w:r>
        <w:rPr>
          <w:rFonts w:ascii="Times New Roman" w:hAnsi="Times New Roman"/>
          <w:b w:val="0"/>
          <w:i w:val="0"/>
          <w:sz w:val="16"/>
        </w:rPr>
        <w:t>[2] D. G. Lowe, 'Distinctive image features from scale-invariant keypoints,' Int. J. Comput. Vis., vol. 60, no. 2, pp. 91–110, 2004.</w:t>
      </w:r>
    </w:p>
    <w:p>
      <w:pPr>
        <w:spacing w:after="40" w:before="0"/>
        <w:jc w:val="both"/>
      </w:pPr>
      <w:r>
        <w:rPr>
          <w:rFonts w:ascii="Times New Roman" w:hAnsi="Times New Roman"/>
          <w:b w:val="0"/>
          <w:i w:val="0"/>
          <w:sz w:val="16"/>
        </w:rPr>
        <w:t>[3] B. L. DeCost and E. A. Holm, 'A computer vision approach for automated analysis and classification of microstructural image data,' Comput. Mater. Sci., vol. 110, pp. 126–133, 2015.</w:t>
      </w:r>
    </w:p>
    <w:p>
      <w:pPr>
        <w:spacing w:after="40" w:before="0"/>
        <w:jc w:val="both"/>
      </w:pPr>
      <w:r>
        <w:rPr>
          <w:rFonts w:ascii="Times New Roman" w:hAnsi="Times New Roman"/>
          <w:b w:val="0"/>
          <w:i w:val="0"/>
          <w:sz w:val="16"/>
        </w:rPr>
        <w:t>[4] E. A. Holm et al., 'Overview: Computer vision and machine learning for microstructural characterization and analysis,' Metall. Mater. Trans. A, vol. 51, no. 12, pp. 5985–5999, 2020.</w:t>
      </w:r>
    </w:p>
    <w:p>
      <w:pPr>
        <w:spacing w:after="40" w:before="0"/>
        <w:jc w:val="both"/>
      </w:pPr>
      <w:r>
        <w:rPr>
          <w:rFonts w:ascii="Times New Roman" w:hAnsi="Times New Roman"/>
          <w:b w:val="0"/>
          <w:i w:val="0"/>
          <w:sz w:val="16"/>
        </w:rPr>
        <w:t>[5] A. W. M. Smeulders, M. Worring, S. Santini, A. Gupta, and R. Jain, 'Content-based image retrieval at the end of the early years,' IEEE TPAMI, vol. 22, no. 12, pp. 1349–1380, Dec. 2000.</w:t>
      </w:r>
    </w:p>
    <w:p>
      <w:pPr>
        <w:spacing w:after="40" w:before="0"/>
        <w:jc w:val="both"/>
      </w:pPr>
      <w:r>
        <w:rPr>
          <w:rFonts w:ascii="Times New Roman" w:hAnsi="Times New Roman"/>
          <w:b w:val="0"/>
          <w:i w:val="0"/>
          <w:sz w:val="16"/>
        </w:rPr>
        <w:t>[6] J. Stuckner, B. Harder, and T. M. Smith, 'Microstructure segmentation with deep learning encoders pre-trained on a large microscopy dataset,' npj Comput. Mater., vol. 8, no. 1, pp. 1–12, 2022.</w:t>
      </w:r>
    </w:p>
    <w:p>
      <w:pPr>
        <w:spacing w:after="40" w:before="0"/>
        <w:jc w:val="both"/>
      </w:pPr>
      <w:r>
        <w:rPr>
          <w:rFonts w:ascii="Times New Roman" w:hAnsi="Times New Roman"/>
          <w:b w:val="0"/>
          <w:i w:val="0"/>
          <w:sz w:val="16"/>
        </w:rPr>
        <w:t>[7] A. Dosovitskiy et al., 'An image is worth 16x16 words: Transformers for image recognition at scale,' in Proc. ICLR, 2021.</w:t>
      </w:r>
    </w:p>
    <w:p>
      <w:pPr>
        <w:spacing w:after="40" w:before="0"/>
        <w:jc w:val="both"/>
      </w:pPr>
      <w:r>
        <w:rPr>
          <w:rFonts w:ascii="Times New Roman" w:hAnsi="Times New Roman"/>
          <w:b w:val="0"/>
          <w:i w:val="0"/>
          <w:sz w:val="16"/>
        </w:rPr>
        <w:t>[8] M. Caron et al., 'Emerging properties in self-supervised vision transformers,' in Proc. IEEE/CVF ICCV, 2021, pp. 9650–9660.</w:t>
      </w:r>
    </w:p>
    <w:p>
      <w:pPr>
        <w:spacing w:after="40" w:before="0"/>
        <w:jc w:val="both"/>
      </w:pPr>
      <w:r>
        <w:rPr>
          <w:rFonts w:ascii="Times New Roman" w:hAnsi="Times New Roman"/>
          <w:b w:val="0"/>
          <w:i w:val="0"/>
          <w:sz w:val="16"/>
        </w:rPr>
        <w:t>[9] K. He, X. Chen, S. Xie, Y. Li, P. Dollár, and R. Girshick, 'Masked autoencoders are scalable vision learners,' in Proc. IEEE/CVF CVPR, 2022, pp. 16000–16009.</w:t>
      </w:r>
    </w:p>
    <w:p>
      <w:pPr>
        <w:spacing w:after="40" w:before="0"/>
        <w:jc w:val="both"/>
      </w:pPr>
      <w:r>
        <w:rPr>
          <w:rFonts w:ascii="Times New Roman" w:hAnsi="Times New Roman"/>
          <w:b w:val="0"/>
          <w:i w:val="0"/>
          <w:sz w:val="16"/>
        </w:rPr>
        <w:t>[10] M. Oquab et al., 'DINOv2: Learning robust visual features without supervision,' Trans. Mach. Learn. Res., 2024.</w:t>
      </w:r>
    </w:p>
    <w:p>
      <w:pPr>
        <w:spacing w:after="40" w:before="0"/>
        <w:jc w:val="both"/>
      </w:pPr>
      <w:r>
        <w:rPr>
          <w:rFonts w:ascii="Times New Roman" w:hAnsi="Times New Roman"/>
          <w:b w:val="0"/>
          <w:i w:val="0"/>
          <w:sz w:val="16"/>
        </w:rPr>
        <w:t>[11] K. He, X. Zhang, S. Ren, and J. Sun, 'Deep residual learning for image recognition,' in Proc. IEEE CVPR, 2016, pp. 770–778.</w:t>
      </w:r>
    </w:p>
    <w:p>
      <w:pPr>
        <w:spacing w:after="40" w:before="0"/>
        <w:jc w:val="both"/>
      </w:pPr>
      <w:r>
        <w:rPr>
          <w:rFonts w:ascii="Times New Roman" w:hAnsi="Times New Roman"/>
          <w:b w:val="0"/>
          <w:i w:val="0"/>
          <w:sz w:val="16"/>
        </w:rPr>
        <w:t>[12] T. Chen, S. Kornblith, M. Norouzi, and G. Hinton, 'A simple framework for contrastive learning of visual representations,' in Proc. ICML, 2020, pp. 1597–1607.</w:t>
      </w:r>
    </w:p>
    <w:p>
      <w:pPr>
        <w:spacing w:after="40" w:before="0"/>
        <w:jc w:val="both"/>
      </w:pPr>
      <w:r>
        <w:rPr>
          <w:rFonts w:ascii="Times New Roman" w:hAnsi="Times New Roman"/>
          <w:b w:val="0"/>
          <w:i w:val="0"/>
          <w:sz w:val="16"/>
        </w:rPr>
        <w:t>[13] P. Khosla et al., 'Supervised contrastive learning,' in Adv. Neural Inf. Process. Syst. (NeurIPS), vol. 33, 2020, pp. 18661–18673.</w:t>
      </w:r>
    </w:p>
    <w:p>
      <w:pPr>
        <w:spacing w:after="40" w:before="0"/>
        <w:jc w:val="both"/>
      </w:pPr>
      <w:r>
        <w:rPr>
          <w:rFonts w:ascii="Times New Roman" w:hAnsi="Times New Roman"/>
          <w:b w:val="0"/>
          <w:i w:val="0"/>
          <w:sz w:val="16"/>
        </w:rPr>
        <w:t>[14] S. Ben-David et al., 'A theory of learning from different domains,' Mach. Learn., vol. 79, no. 1–2, pp. 151–175, 2010.</w:t>
      </w:r>
    </w:p>
    <w:p>
      <w:pPr>
        <w:spacing w:after="40" w:before="0"/>
        <w:jc w:val="both"/>
      </w:pPr>
      <w:r>
        <w:rPr>
          <w:rFonts w:ascii="Times New Roman" w:hAnsi="Times New Roman"/>
          <w:b w:val="0"/>
          <w:i w:val="0"/>
          <w:sz w:val="16"/>
        </w:rPr>
        <w:t>[15] J. Johnson, M. Douze, and H. Jégou, 'Billion-scale similarity search with GPUs,' IEEE Trans. Big Data, vol. 7, no. 3, pp. 535–547, Jul. 2021.</w:t>
      </w:r>
    </w:p>
    <w:p>
      <w:pPr>
        <w:spacing w:after="40" w:before="0"/>
        <w:jc w:val="both"/>
      </w:pPr>
      <w:r>
        <w:rPr>
          <w:rFonts w:ascii="Times New Roman" w:hAnsi="Times New Roman"/>
          <w:b w:val="0"/>
          <w:i w:val="0"/>
          <w:sz w:val="16"/>
        </w:rPr>
        <w:t>[16] Y. A. Malkov and D. A. Yashunin, 'Efficient and robust approximate nearest neighbor search using hierarchical navigable small world graphs,' IEEE TPAMI, vol. 42, no. 4, pp. 824–836, Apr. 2020.</w:t>
      </w:r>
    </w:p>
    <w:p>
      <w:pPr>
        <w:spacing w:after="40" w:before="0"/>
        <w:jc w:val="both"/>
      </w:pPr>
      <w:r>
        <w:rPr>
          <w:rFonts w:ascii="Times New Roman" w:hAnsi="Times New Roman"/>
          <w:b w:val="0"/>
          <w:i w:val="0"/>
          <w:sz w:val="16"/>
        </w:rPr>
        <w:t>[17] A. Mittal, A. K. Moorthy, and A. C. Bovik, 'No-reference image quality assessment in the spatial domain,' IEEE TIP, vol. 21, no. 12, pp. 4695–4708, Dec. 2012.</w:t>
      </w:r>
    </w:p>
    <w:p>
      <w:pPr>
        <w:spacing w:after="40" w:before="0"/>
        <w:jc w:val="both"/>
      </w:pPr>
      <w:r>
        <w:rPr>
          <w:rFonts w:ascii="Times New Roman" w:hAnsi="Times New Roman"/>
          <w:b w:val="0"/>
          <w:i w:val="0"/>
          <w:sz w:val="16"/>
        </w:rPr>
        <w:t>[18] Z. Wang, A. C. Bovik, H. R. Sheikh, and E. P. Simoncelli, 'Image quality assessment: From error visibility to structural similarity,' IEEE TIP, vol. 13, no. 4, pp. 600–612, Apr. 2004.</w:t>
      </w:r>
    </w:p>
    <w:p>
      <w:pPr>
        <w:spacing w:after="40" w:before="0"/>
        <w:jc w:val="both"/>
      </w:pPr>
      <w:r>
        <w:rPr>
          <w:rFonts w:ascii="Times New Roman" w:hAnsi="Times New Roman"/>
          <w:b w:val="0"/>
          <w:i w:val="0"/>
          <w:sz w:val="16"/>
        </w:rPr>
        <w:t>[19] P. Bergmann et al., 'MVTec AD—a comprehensive real-world dataset for unsupervised anomaly detection,' in Proc. IEEE/CVF CVPR, 2019, pp. 9592–9600.</w:t>
      </w:r>
    </w:p>
    <w:p>
      <w:pPr>
        <w:spacing w:after="40" w:before="0"/>
        <w:jc w:val="both"/>
      </w:pPr>
      <w:r>
        <w:rPr>
          <w:rFonts w:ascii="Times New Roman" w:hAnsi="Times New Roman"/>
          <w:b w:val="0"/>
          <w:i w:val="0"/>
          <w:sz w:val="16"/>
        </w:rPr>
        <w:t>[20] Y. Geifman and R. El-Yaniv, 'Selective classification for deep neural networks,' in Adv. Neural Inf. Process. Syst. (NIPS), vol. 30, 2017, pp. 4878–4887.</w:t>
      </w:r>
    </w:p>
    <w:p>
      <w:pPr>
        <w:spacing w:after="40" w:before="0"/>
        <w:jc w:val="both"/>
      </w:pPr>
      <w:r>
        <w:rPr>
          <w:rFonts w:ascii="Times New Roman" w:hAnsi="Times New Roman"/>
          <w:b w:val="0"/>
          <w:i w:val="0"/>
          <w:sz w:val="16"/>
        </w:rPr>
        <w:t>[21] D. Hendrycks and K. Gimpel, 'A baseline for detecting misclassified and out-of-distribution examples in neural networks,' in Proc. ICLR, 2017.</w:t>
      </w:r>
    </w:p>
    <w:p>
      <w:pPr>
        <w:spacing w:after="40" w:before="0"/>
        <w:jc w:val="both"/>
      </w:pPr>
      <w:r>
        <w:rPr>
          <w:rFonts w:ascii="Times New Roman" w:hAnsi="Times New Roman"/>
          <w:b w:val="0"/>
          <w:i w:val="0"/>
          <w:sz w:val="16"/>
        </w:rPr>
        <w:t>[22] C. Guo, G. Pleiss, Y. Sun, and K. Q. Weinberger, 'On calibration of modern neural networks,' in Proc. ICML, 2017, pp. 1321–1330.</w:t>
      </w:r>
    </w:p>
    <w:p>
      <w:pPr>
        <w:spacing w:after="40" w:before="0"/>
        <w:jc w:val="both"/>
      </w:pPr>
      <w:r>
        <w:rPr>
          <w:rFonts w:ascii="Times New Roman" w:hAnsi="Times New Roman"/>
          <w:b w:val="0"/>
          <w:i w:val="0"/>
          <w:sz w:val="16"/>
        </w:rPr>
        <w:t>[23] C. Zauner, 'Implementation and benchmarking of perceptual image hash functions,' Master's thesis, Upper Austria Univ. Appl. Sci., Hagenberg Campus, 2010.</w:t>
      </w:r>
    </w:p>
    <w:p>
      <w:pPr>
        <w:spacing w:after="40" w:before="0"/>
        <w:jc w:val="both"/>
      </w:pPr>
      <w:r>
        <w:rPr>
          <w:rFonts w:ascii="Times New Roman" w:hAnsi="Times New Roman"/>
          <w:b w:val="0"/>
          <w:i w:val="0"/>
          <w:sz w:val="16"/>
        </w:rPr>
        <w:t>[24] M. D. Wilkinson et al., 'The FAIR guiding principles for scientific data management and stewardship,' Sci. Data, vol. 3, p. 160018, 2016.</w:t>
      </w:r>
    </w:p>
    <w:p>
      <w:pPr>
        <w:spacing w:after="40" w:before="0"/>
        <w:jc w:val="both"/>
      </w:pPr>
      <w:r>
        <w:rPr>
          <w:rFonts w:ascii="Times New Roman" w:hAnsi="Times New Roman"/>
          <w:b w:val="0"/>
          <w:i w:val="0"/>
          <w:sz w:val="16"/>
        </w:rPr>
        <w:t>[25] I. Loshchilov and F. Hutter, 'Decoupled weight decay regularization,' in Proc. ICLR, 2019.</w:t>
      </w:r>
    </w:p>
    <w:p>
      <w:pPr>
        <w:spacing w:after="40" w:before="0"/>
        <w:jc w:val="both"/>
      </w:pPr>
      <w:r>
        <w:rPr>
          <w:rFonts w:ascii="Times New Roman" w:hAnsi="Times New Roman"/>
          <w:b w:val="0"/>
          <w:i w:val="0"/>
          <w:sz w:val="16"/>
        </w:rPr>
        <w:t>[26] V. Ljosa, K. L. Sokolnicki, and A. E. Carpenter, 'Annotated high-throughput microscopy image sets for validation,' Nat. Methods, vol. 9, no. 7, p. 637, 2012.</w:t>
      </w:r>
    </w:p>
    <w:p>
      <w:pPr>
        <w:spacing w:after="40" w:before="0"/>
        <w:jc w:val="both"/>
      </w:pPr>
      <w:r>
        <w:rPr>
          <w:rFonts w:ascii="Times New Roman" w:hAnsi="Times New Roman"/>
          <w:b w:val="0"/>
          <w:i w:val="0"/>
          <w:sz w:val="16"/>
        </w:rPr>
        <w:t>[27] 'High-chromium cast iron scanning electron microscopy dataset,' Zenodo, 2024, doi: 10.5281/zenodo.21931379.</w:t>
      </w:r>
    </w:p>
    <w:p>
      <w:pPr>
        <w:spacing w:after="40" w:before="0"/>
        <w:jc w:val="both"/>
      </w:pPr>
      <w:r>
        <w:rPr>
          <w:rFonts w:ascii="Times New Roman" w:hAnsi="Times New Roman"/>
          <w:b w:val="0"/>
          <w:i w:val="0"/>
          <w:sz w:val="16"/>
        </w:rPr>
        <w:t>[28] 'Carinthia scanning electron microscopy dataset,' Zenodo, 2024, doi: 10.5281/zenodo.10715190.</w:t>
      </w:r>
    </w:p>
    <w:p>
      <w:pPr>
        <w:spacing w:after="40" w:before="0"/>
        <w:jc w:val="both"/>
      </w:pPr>
      <w:r>
        <w:rPr>
          <w:rFonts w:ascii="Times New Roman" w:hAnsi="Times New Roman"/>
          <w:b w:val="0"/>
          <w:i w:val="0"/>
          <w:sz w:val="16"/>
        </w:rPr>
        <w:t>[29] R. Aversa et al., 'The first annotated set of scanning electron microscopy images for nanoscience,' Sci. Data, vol. 5, p. 180172, 2018.</w:t>
      </w:r>
    </w:p>
    <w:sectPr w:rsidR="00FC693F" w:rsidRPr="0006063C" w:rsidSect="00034616">
      <w:pgSz w:w="12240" w:h="15840"/>
      <w:pgMar w:top="108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