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AI-Based Intelligent Retrieval and Quality-Aware Curation of Scientific Microscopy Images</w:t>
      </w:r>
    </w:p>
    <w:p>
      <w:pPr>
        <w:jc w:val="center"/>
      </w:pPr>
      <w:r>
        <w:rPr>
          <w:rFonts w:ascii="Times New Roman" w:hAnsi="Times New Roman"/>
          <w:b/>
          <w:sz w:val="20"/>
        </w:rPr>
        <w:t>Pranet Pallati</w:t>
        <w:br/>
      </w:r>
      <w:r>
        <w:rPr>
          <w:rFonts w:ascii="Times New Roman" w:hAnsi="Times New Roman"/>
          <w:i/>
          <w:sz w:val="18"/>
        </w:rPr>
        <w:t>Department of Computer Science and Engineering, Vardhaman College of Engineering, Hyderabad, Telangana, India</w:t>
        <w:br/>
        <w:t>24881A05B7@student.vardhaman.org</w:t>
        <w:br/>
        <w:br/>
      </w:r>
      <w:r>
        <w:rPr>
          <w:rFonts w:ascii="Times New Roman" w:hAnsi="Times New Roman"/>
          <w:b/>
          <w:sz w:val="20"/>
        </w:rPr>
        <w:t>Gollakota Charan Deep</w:t>
        <w:br/>
      </w:r>
      <w:r>
        <w:rPr>
          <w:rFonts w:ascii="Times New Roman" w:hAnsi="Times New Roman"/>
          <w:i/>
          <w:sz w:val="18"/>
        </w:rPr>
        <w:t>Department of Computer Science and Engineering, Vardhaman College of Engineering, Hyderabad, Telangana, India</w:t>
        <w:br/>
        <w:t>24881A0586@student.vardhaman.org</w:t>
        <w:br/>
        <w:br/>
      </w:r>
      <w:r>
        <w:rPr>
          <w:rFonts w:ascii="Times New Roman" w:hAnsi="Times New Roman"/>
          <w:b/>
          <w:sz w:val="20"/>
        </w:rPr>
        <w:t>Pooja Vunnam</w:t>
        <w:br/>
      </w:r>
      <w:r>
        <w:rPr>
          <w:rFonts w:ascii="Times New Roman" w:hAnsi="Times New Roman"/>
          <w:i/>
          <w:sz w:val="18"/>
        </w:rPr>
        <w:t>Department of Computer Science and Engineering, Vardhaman College of Engineering, Hyderabad, Telangana, India</w:t>
        <w:br/>
        <w:t>24881A05B5@student.vardhaman.org</w:t>
        <w:br/>
        <w:br/>
      </w:r>
      <w:r>
        <w:rPr>
          <w:rFonts w:ascii="Times New Roman" w:hAnsi="Times New Roman"/>
          <w:b/>
          <w:sz w:val="20"/>
        </w:rPr>
        <w:t>Ms. C. Bhavana</w:t>
        <w:br/>
      </w:r>
      <w:r>
        <w:rPr>
          <w:rFonts w:ascii="Times New Roman" w:hAnsi="Times New Roman"/>
          <w:i/>
          <w:sz w:val="18"/>
        </w:rPr>
        <w:t>Assistant Professor, Department of Computer Science and Engineering, Vardhaman College of Engineering, Hyderabad, Telangana, India</w:t>
        <w:br/>
        <w:t>bhavana1817@vardhaman.org</w:t>
        <w:br/>
        <w:br/>
      </w:r>
    </w:p>
    <w:p>
      <w:r>
        <w:rPr>
          <w:rFonts w:ascii="Times New Roman" w:hAnsi="Times New Roman"/>
          <w:b/>
          <w:i/>
          <w:sz w:val="18"/>
        </w:rPr>
        <w:t>Abstract—</w:t>
      </w:r>
      <w:r>
        <w:rPr>
          <w:rFonts w:ascii="Times New Roman" w:hAnsi="Times New Roman"/>
          <w:i/>
          <w:sz w:val="18"/>
        </w:rPr>
        <w:t>Scientific microscopy repositories are expanding rapidly across material science, metallurgy, and biological disciplines, yet downstream search and curation remain severely constrained by acquisition heterogeneity (varying accelerating voltages, detectors, and magnifications) and unquantified image quality risks. Conventional image retrieval pipelines ignore instrument variations and treat corrupted micrographs identically to pristine benchmarks. In this work, we introduce SCI-INTEL, a reproducible platform integrating metadata-aware ingestion, acquisition-aware representation adaptation, controlled artifact screening, spatial suspicious-region localization, uncertainty-aware abstention, and deterministic comparative evidence aggregation. Evaluating on a benchmark of 6,085 scientific micrographs (774 high-chromium cast iron SEM, 4,591 Carinthia SEM, and 720 BBBC021 optical micrographs), we demonstrate that lightweight representation adaptation reduces the observed acquisition-geometry similarity gap by 66.23% (from 0.2016 to 0.0681, p = 5.03e-36, Cohen's dz = 2.19) while achieving Recall@5 of 0.9921 and MRR of 0.5261 under realistic unmasked distractor retrieval (Protocol U). Crucially, our evaluation reveals an empirical trade-off between representation alignment and fine-grained sensitivity: while adapted representations optimize cross-instrument retrieval, frozen DINOv2 ViT-S/14 features retain superior sensitivity to controlled synthetic artifacts (Macro F1 = 0.6837 vs. 0.6323). Rather than training an unverified fusion network, SCI-INTEL resolves this trade-off via a modular dual-representation architecture that routes each representation to its specialized task. Uncertainty-aware abstention safely routes low-confidence cases (confidence &lt; 0.40 or normalized entropy &gt; 0.75) to specialist review, while the evidence layer achieves 100.0% valid comparative micrograph retrieval across an evaluated N=55 query cohort without duplicate artifacts. Our evaluation does not claim unseen-specimen generalization, physical defect confirmation, clinical diagnosis, or human interpretation improvement, providing a transparent, publication-grade foundation for scientific image curation.</w:t>
      </w:r>
    </w:p>
    <w:p>
      <w:r>
        <w:rPr>
          <w:rFonts w:ascii="Times New Roman" w:hAnsi="Times New Roman"/>
          <w:b/>
          <w:i/>
          <w:sz w:val="18"/>
        </w:rPr>
        <w:t>Index Terms—</w:t>
      </w:r>
      <w:r>
        <w:rPr>
          <w:rFonts w:ascii="Times New Roman" w:hAnsi="Times New Roman"/>
          <w:sz w:val="18"/>
        </w:rPr>
        <w:t>Scientific Image Retrieval, Microscopy, Representation Learning, Acquisition Robustness, Image Quality Assessment, Anomaly Screening, Uncertainty Estimation, Scientific Data Curation, Metadata-Aware Retrieval, Evidence-Based Curation</w:t>
      </w:r>
    </w:p>
    <w:p>
      <w:pPr>
        <w:pStyle w:val="Heading1"/>
      </w:pPr>
      <w:r>
        <w:rPr>
          <w:rFonts w:ascii="Times New Roman" w:hAnsi="Times New Roman"/>
          <w:b/>
          <w:sz w:val="22"/>
        </w:rPr>
        <w:t>I. INTRODUCTION</w:t>
      </w:r>
    </w:p>
    <w:p>
      <w:r>
        <w:rPr>
          <w:rFonts w:ascii="Times New Roman" w:hAnsi="Times New Roman"/>
          <w:sz w:val="20"/>
        </w:rPr>
        <w:t>Modern scientific microscopy imaging has evolved into an essential foundation for characterization in materials science, crystallography, and biology. Instruments routinely generate millions of high-resolution micrographs, yet cross-instrument retrieval remains severely constrained by acquisition heterogeneity and unquantified quality risks.</w:t>
      </w:r>
    </w:p>
    <w:p>
      <w:r>
        <w:rPr>
          <w:rFonts w:ascii="Times New Roman" w:hAnsi="Times New Roman"/>
          <w:sz w:val="20"/>
        </w:rPr>
        <w:t>Conventional image retrieval pipelines ignore instrument variations and treat corrupted micrographs identically to pristine benchmarks. In this work, we present SCI-INTEL, a reproducible platform integrating metadata-aware ingestion, acquisition-aware representation adaptation, controlled artifact screening, spatial localization, uncertainty-aware abstention, and deterministic comparative evidence aggregation.</w:t>
      </w:r>
    </w:p>
    <w:p>
      <w:pPr>
        <w:pStyle w:val="Heading1"/>
      </w:pPr>
      <w:r>
        <w:rPr>
          <w:rFonts w:ascii="Times New Roman" w:hAnsi="Times New Roman"/>
          <w:b/>
          <w:sz w:val="22"/>
        </w:rPr>
        <w:t>II. RELATED WORK</w:t>
      </w:r>
    </w:p>
    <w:p>
      <w:r>
        <w:rPr>
          <w:rFonts w:ascii="Times New Roman" w:hAnsi="Times New Roman"/>
          <w:sz w:val="20"/>
        </w:rPr>
        <w:t>A. Visual Representation Learning: Self-supervised Vision Transformers (DINO, DINOv2) learn rich representations but do not inherently account for physical microscopy parameters.</w:t>
      </w:r>
    </w:p>
    <w:p>
      <w:r>
        <w:rPr>
          <w:rFonts w:ascii="Times New Roman" w:hAnsi="Times New Roman"/>
          <w:sz w:val="20"/>
        </w:rPr>
        <w:t>B. Cross-Domain Retrieval: Supervised contrastive learning aligns visual domains, yet materials science has largely relied on static descriptors or generic ImageNet pre-training.</w:t>
      </w:r>
    </w:p>
    <w:p>
      <w:r>
        <w:rPr>
          <w:rFonts w:ascii="Times New Roman" w:hAnsi="Times New Roman"/>
          <w:sz w:val="20"/>
        </w:rPr>
        <w:t>C. Quality Assessment &amp; Uncertainty: No-reference quality screening combined with selective prediction provides rigorous safety routing for corrupted scientific images.</w:t>
      </w:r>
    </w:p>
    <w:p>
      <w:pPr>
        <w:pStyle w:val="Heading1"/>
      </w:pPr>
      <w:r>
        <w:rPr>
          <w:rFonts w:ascii="Times New Roman" w:hAnsi="Times New Roman"/>
          <w:b/>
          <w:sz w:val="22"/>
        </w:rPr>
        <w:t>III. SYSTEM ARCHITECTURE</w:t>
      </w:r>
    </w:p>
    <w:p>
      <w:r>
        <w:rPr>
          <w:rFonts w:ascii="Times New Roman" w:hAnsi="Times New Roman"/>
          <w:sz w:val="20"/>
        </w:rPr>
        <w:t>SCI-INTEL incorporates an 8-stage deterministic curation pipeline: (1) metadata-aware ingestion, (2) dual representation generation (DINOv2 for quality, Phase-4 for retrieval), (3) quality screening, (4) spatial localization, (5) uncertainty-aware abstention, (6) evidence retrieval, (7) evidence aggregation, and (8) cryptographic provenance tracking.</w:t>
      </w:r>
    </w:p>
    <w:p>
      <w:pPr>
        <w:pStyle w:val="Heading1"/>
      </w:pPr>
      <w:r>
        <w:rPr>
          <w:rFonts w:ascii="Times New Roman" w:hAnsi="Times New Roman"/>
          <w:b/>
          <w:sz w:val="22"/>
        </w:rPr>
        <w:t>IV. EXPERIMENTAL PROTOCOL</w:t>
      </w:r>
    </w:p>
    <w:p>
      <w:r>
        <w:rPr>
          <w:rFonts w:ascii="Times New Roman" w:hAnsi="Times New Roman"/>
          <w:sz w:val="20"/>
        </w:rPr>
        <w:t>Evaluation is conducted on 6,085 active micrographs across HCCI SEM (427 train / 135 val / 212 test), Carinthia SEM (4,591), and BBBC021 optical (720). Protocol U (unmasked distractors) is strictly separated from historical Protocol M.</w:t>
      </w:r>
    </w:p>
    <w:p>
      <w:pPr>
        <w:pStyle w:val="Heading1"/>
      </w:pPr>
      <w:r>
        <w:rPr>
          <w:rFonts w:ascii="Times New Roman" w:hAnsi="Times New Roman"/>
          <w:b/>
          <w:sz w:val="22"/>
        </w:rPr>
        <w:t>V. EXPERIMENTAL RESULTS</w:t>
      </w:r>
    </w:p>
    <w:p>
      <w:r>
        <w:rPr>
          <w:rFonts w:ascii="Times New Roman" w:hAnsi="Times New Roman"/>
          <w:sz w:val="20"/>
        </w:rPr>
        <w:t>A. Acquisition Robustness: Phase-4 adaptation reduces the observed acquisition-geometry gap by 66.23% (0.2016 to 0.0681, p = 5.03e-36, dz = 2.19) while achieving Recall@5 of 0.9921 under Protocol U.</w:t>
      </w:r>
    </w:p>
    <w:p>
      <w:r>
        <w:rPr>
          <w:rFonts w:ascii="Times New Roman" w:hAnsi="Times New Roman"/>
          <w:sz w:val="20"/>
        </w:rPr>
        <w:t>B. Quality Screening: Frozen DINOv2 achieves Macro F1 of 0.6837 and AUROC of 0.8582, outperforming adapted representations by +5.14% F1.</w:t>
      </w:r>
    </w:p>
    <w:p>
      <w:r>
        <w:rPr>
          <w:rFonts w:ascii="Times New Roman" w:hAnsi="Times New Roman"/>
          <w:sz w:val="20"/>
        </w:rPr>
        <w:t>C. Dual Composition: Deterministic modular composition preserves component strengths without training learned fusion weights.</w:t>
      </w:r>
    </w:p>
    <w:p>
      <w:r>
        <w:rPr>
          <w:rFonts w:ascii="Times New Roman" w:hAnsi="Times New Roman"/>
          <w:sz w:val="20"/>
        </w:rPr>
        <w:t>D. Spatial Localization: Model-derived suspicious-region localization yields mean IoU of 0.4454 across 500 test images.</w:t>
      </w:r>
    </w:p>
    <w:p>
      <w:r>
        <w:rPr>
          <w:rFonts w:ascii="Times New Roman" w:hAnsi="Times New Roman"/>
          <w:sz w:val="20"/>
        </w:rPr>
        <w:t>E. Evidence Availability: Within the evaluated N=55 query cohort, valid evidence availability reached 100.0% with zero duplicate artifacts.</w:t>
      </w:r>
    </w:p>
    <w:p>
      <w:r>
        <w:rPr>
          <w:rFonts w:ascii="Times New Roman" w:hAnsi="Times New Roman"/>
          <w:sz w:val="20"/>
        </w:rPr>
        <w:t>F. Latency: Complete pipeline serial execution averaged 23.40 ms/image (P95: 28.30 ms).</w:t>
      </w:r>
    </w:p>
    <w:p>
      <w:pPr>
        <w:pStyle w:val="Heading1"/>
      </w:pPr>
      <w:r>
        <w:rPr>
          <w:rFonts w:ascii="Times New Roman" w:hAnsi="Times New Roman"/>
          <w:b/>
          <w:sz w:val="22"/>
        </w:rPr>
        <w:t>VI. DISCUSSION</w:t>
      </w:r>
    </w:p>
    <w:p>
      <w:r>
        <w:rPr>
          <w:rFonts w:ascii="Times New Roman" w:hAnsi="Times New Roman"/>
          <w:sz w:val="20"/>
        </w:rPr>
        <w:t>Our findings reveal an essential trade-off: acquisition-geometry alignment projects out high-frequency sensor noise, which attenuates sensitivity to fine-grained image perturbations. A modular dual-representation architecture resolves this by routing representations to their specialized roles.</w:t>
      </w:r>
    </w:p>
    <w:p>
      <w:pPr>
        <w:pStyle w:val="Heading1"/>
      </w:pPr>
      <w:r>
        <w:rPr>
          <w:rFonts w:ascii="Times New Roman" w:hAnsi="Times New Roman"/>
          <w:b/>
          <w:sz w:val="22"/>
        </w:rPr>
        <w:t>VII. SCIENTIFIC LIMITATIONS &amp; BOUNDARIES</w:t>
      </w:r>
    </w:p>
    <w:p>
      <w:r>
        <w:rPr>
          <w:rFonts w:ascii="Times New Roman" w:hAnsi="Times New Roman"/>
          <w:sz w:val="20"/>
        </w:rPr>
        <w:t>The evaluation does not claim unseen-specimen generalization, physical defect confirmation, clinical diagnosis, or human interpretation improvement. All synthetic benchmarks represent controlled perturbations.</w:t>
      </w:r>
    </w:p>
    <w:p>
      <w:pPr>
        <w:pStyle w:val="Heading1"/>
      </w:pPr>
      <w:r>
        <w:rPr>
          <w:rFonts w:ascii="Times New Roman" w:hAnsi="Times New Roman"/>
          <w:b/>
          <w:sz w:val="22"/>
        </w:rPr>
        <w:t>VIII. CONCLUSION</w:t>
      </w:r>
    </w:p>
    <w:p>
      <w:r>
        <w:rPr>
          <w:rFonts w:ascii="Times New Roman" w:hAnsi="Times New Roman"/>
          <w:sz w:val="20"/>
        </w:rPr>
        <w:t>SCI-INTEL demonstrates a verified, reproducible platform for acquisition-aware scientific image retrieval and quality-aware curation.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