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AI-Based Intelligent Retrieval and Quality-Aware Curation of Scientific Microscopy Images</w:t>
      </w:r>
    </w:p>
    <w:p>
      <w:pPr>
        <w:jc w:val="center"/>
      </w:pPr>
      <w:r>
        <w:rPr>
          <w:rFonts w:ascii="Times New Roman" w:hAnsi="Times New Roman"/>
          <w:b/>
          <w:sz w:val="20"/>
        </w:rPr>
        <w:t>Pranet Pallati</w:t>
        <w:br/>
      </w:r>
      <w:r>
        <w:rPr>
          <w:rFonts w:ascii="Times New Roman" w:hAnsi="Times New Roman"/>
          <w:i/>
          <w:sz w:val="18"/>
        </w:rPr>
        <w:t>Student Author (24881A05B7), Dept. of Computer Science and Engineering, Vardhaman College of Engineering, Hyderabad, Telangana, India</w:t>
        <w:br/>
        <w:t>24881A05B7@student.vardhaman.org</w:t>
        <w:br/>
        <w:br/>
      </w:r>
      <w:r>
        <w:rPr>
          <w:rFonts w:ascii="Times New Roman" w:hAnsi="Times New Roman"/>
          <w:b/>
          <w:sz w:val="20"/>
        </w:rPr>
        <w:t>Gollakota Charan Deep</w:t>
        <w:br/>
      </w:r>
      <w:r>
        <w:rPr>
          <w:rFonts w:ascii="Times New Roman" w:hAnsi="Times New Roman"/>
          <w:i/>
          <w:sz w:val="18"/>
        </w:rPr>
        <w:t>Student Author (24881A0586), Dept. of Computer Science and Engineering, Vardhaman College of Engineering, Hyderabad, Telangana, India</w:t>
        <w:br/>
        <w:t>24881A0586@student.vardhaman.org</w:t>
        <w:br/>
        <w:br/>
      </w:r>
      <w:r>
        <w:rPr>
          <w:rFonts w:ascii="Times New Roman" w:hAnsi="Times New Roman"/>
          <w:b/>
          <w:sz w:val="20"/>
        </w:rPr>
        <w:t>Pooja Vunnam</w:t>
        <w:br/>
      </w:r>
      <w:r>
        <w:rPr>
          <w:rFonts w:ascii="Times New Roman" w:hAnsi="Times New Roman"/>
          <w:i/>
          <w:sz w:val="18"/>
        </w:rPr>
        <w:t>Student Author (24881A05B5), Dept. of Computer Science and Engineering, Vardhaman College of Engineering, Hyderabad, Telangana, India</w:t>
        <w:br/>
        <w:t>24881A05B5@student.vardhaman.org</w:t>
        <w:br/>
        <w:br/>
      </w:r>
      <w:r>
        <w:rPr>
          <w:rFonts w:ascii="Times New Roman" w:hAnsi="Times New Roman"/>
          <w:b/>
          <w:sz w:val="20"/>
        </w:rPr>
        <w:t>Ms. C. Bhavana</w:t>
        <w:br/>
      </w:r>
      <w:r>
        <w:rPr>
          <w:rFonts w:ascii="Times New Roman" w:hAnsi="Times New Roman"/>
          <w:i/>
          <w:sz w:val="18"/>
        </w:rPr>
        <w:t>Faculty Guide, Assistant Professor, Dept. of Computer Science and Engineering, Vardhaman College of Engineering, Hyderabad, Telangana, India</w:t>
        <w:br/>
        <w:t>bhavana1817@vardhaman.org</w:t>
        <w:br/>
        <w:br/>
      </w:r>
    </w:p>
    <w:p>
      <w:r>
        <w:rPr>
          <w:rFonts w:ascii="Times New Roman" w:hAnsi="Times New Roman"/>
          <w:b/>
          <w:i/>
          <w:sz w:val="18"/>
        </w:rPr>
        <w:t>Abstract—</w:t>
      </w:r>
      <w:r>
        <w:rPr>
          <w:rFonts w:ascii="Times New Roman" w:hAnsi="Times New Roman"/>
          <w:i/>
          <w:sz w:val="18"/>
        </w:rPr>
        <w:t>Scientific microscopy repositories are expanding rapidly across material science and biology, yet retrieval and curation remain severely constrained by acquisition heterogeneity (varying accelerating voltages, detectors, and magnifications) and unquantified quality risks. In this work, we present SCI-INTEL, a reproducible platform integrating metadata-aware ingestion, acquisition-aware representation adaptation, controlled artifact screening, spatial localization, uncertainty-aware abstention, and deterministic comparative evidence aggregation. Evaluating on 6,085 scientific micrographs (774 HCCI SEM, 4,591 Carinthia SEM, and 720 BBBC021 optical micrographs), we demonstrate that lightweight representation adaptation reduces the observed acquisition-geometry similarity gap by 66.23% (from 0.2016 to 0.0681, p = 5.03e-36, Cohen's dz = 2.19) while achieving Recall@5 of 0.9921 and MRR of 0.5261 under realistic unmasked distractor retrieval (Protocol U). Our evaluation reveals an empirical specialization trade-off: while adapted representations optimize cross-instrument retrieval, frozen DINOv2 ViT-S/14 features retain superior sensitivity to controlled synthetic artifacts (Macro F1 = 0.6837 vs. 0.6323). SCI-INTEL resolves this trade-off via a modular dual-representation architecture that routes each representation to its specialized task without learned fusion. Uncertainty-aware abstention safely routes low-confidence cases (confidence &lt; 0.40 or normalized entropy &gt; 0.75) to specialist review, while the evidence layer achieves 100.0% valid comparative retrieval across an evaluated N=55 query cohort. Our evaluation does not claim unseen-specimen generalization, physical defect confirmation, clinical diagnosis, or human interpretation improvement.</w:t>
      </w:r>
    </w:p>
    <w:p>
      <w:r>
        <w:rPr>
          <w:rFonts w:ascii="Times New Roman" w:hAnsi="Times New Roman"/>
          <w:b/>
          <w:i/>
          <w:sz w:val="18"/>
        </w:rPr>
        <w:t>Index Terms—</w:t>
      </w:r>
      <w:r>
        <w:rPr>
          <w:rFonts w:ascii="Times New Roman" w:hAnsi="Times New Roman"/>
          <w:sz w:val="18"/>
        </w:rPr>
        <w:t>Scientific Image Retrieval, Microscopy, Representation Learning, Acquisition Robustness, Image Quality Assessment, Anomaly Screening, Uncertainty Estimation, Scientific Data Curation</w:t>
      </w:r>
    </w:p>
    <w:p>
      <w:pPr>
        <w:pStyle w:val="Heading1"/>
      </w:pPr>
      <w:r>
        <w:rPr>
          <w:rFonts w:ascii="Times New Roman" w:hAnsi="Times New Roman"/>
          <w:b/>
          <w:sz w:val="22"/>
        </w:rPr>
        <w:t>I. INTRODUCTION</w:t>
      </w:r>
    </w:p>
    <w:p>
      <w:r>
        <w:rPr>
          <w:rFonts w:ascii="Times New Roman" w:hAnsi="Times New Roman"/>
          <w:sz w:val="20"/>
        </w:rPr>
        <w:t>Modern scientific microscopy imaging has evolved into an essential foundation for characterization in materials science, crystallography, and biology [12, 14]. Instruments such as scanning electron microscopes (SEM), transmission electron microscopes (TEM), and focused ion beam systems routinely generate millions of high-resolution micrographs. However, retrieving and organizing these images across large-scale distributed archives presents severe bottlenecks [8, 13].</w:t>
      </w:r>
    </w:p>
    <w:p>
      <w:r>
        <w:rPr>
          <w:rFonts w:ascii="Times New Roman" w:hAnsi="Times New Roman"/>
          <w:sz w:val="20"/>
        </w:rPr>
        <w:t>First, acquisition heterogeneity—arising from distinct detector geometries (secondary electron vs. backscattered electron), accelerating voltages, and working distances—induces substantial feature shifts in visual embeddings, causing visually dissimilar micrographs of identical metallurgical structures [7, 12]. Second, raw acquisition archives are frequently corrupted by operational artifacts including beam charging, illumination gradients, and sample contamination, which can silently degrade automated image analysis [18, 19]. Third, standard deep learning classifiers produce overconfident predictions on corrupted or out-of-distribution micrographs without providing provenance or comparative visual evidence [21].</w:t>
      </w:r>
    </w:p>
    <w:p>
      <w:r>
        <w:rPr>
          <w:rFonts w:ascii="Times New Roman" w:hAnsi="Times New Roman"/>
          <w:sz w:val="20"/>
        </w:rPr>
        <w:t>To resolve these interconnected challenges, we present SCI-INTEL, an open, reproducible platform for acquisition-aware scientific image retrieval and quality-aware curation. Our core contributions are: (1) demonstrating a 66.23% reduction in the acquisition-geometry gap via representation adaptation; (2) uncovering an empirical trade-off between acquisition alignment and fine-grained artifact sensitivity; (3) introducing a modular dual-representation architecture combining DINOv2 and adapted projections without learned fusion; (4) implementing uncertainty-aware abstention and spatial localization; and (5) providing an operational evidence retrieval layer returning comparative micrographs for 100% of an evaluated N=55 query cohort.</w:t>
      </w:r>
    </w:p>
    <w:p>
      <w:pPr>
        <w:pStyle w:val="Heading1"/>
      </w:pPr>
      <w:r>
        <w:rPr>
          <w:rFonts w:ascii="Times New Roman" w:hAnsi="Times New Roman"/>
          <w:b/>
          <w:sz w:val="22"/>
        </w:rPr>
        <w:t>II. RELATED WORK</w:t>
      </w:r>
    </w:p>
    <w:p>
      <w:r>
        <w:rPr>
          <w:rFonts w:ascii="Times New Roman" w:hAnsi="Times New Roman"/>
          <w:sz w:val="20"/>
        </w:rPr>
        <w:t>A. Visual Representation Learning: Self-supervised Vision Transformers (DINO, DINOv2) [1, 2] learn rich representations across natural imagery, but lack intrinsic modeling of physical electron optical parameters.</w:t>
      </w:r>
    </w:p>
    <w:p>
      <w:r>
        <w:rPr>
          <w:rFonts w:ascii="Times New Roman" w:hAnsi="Times New Roman"/>
          <w:sz w:val="20"/>
        </w:rPr>
        <w:t>B. Microstructure Retrieval: Prior works relied on static descriptors or ImageNet pre-training [12, 13], which degrade sharply under instrument transfer.</w:t>
      </w:r>
    </w:p>
    <w:p>
      <w:r>
        <w:rPr>
          <w:rFonts w:ascii="Times New Roman" w:hAnsi="Times New Roman"/>
          <w:sz w:val="20"/>
        </w:rPr>
        <w:t>C. Image Quality Assessment &amp; Uncertainty: No-reference image quality metrics [18, 19] combined with selective prediction [21] provide conservative review routing for ambiguous or corrupted scientific data.</w:t>
      </w:r>
    </w:p>
    <w:p>
      <w:pPr>
        <w:pStyle w:val="Heading1"/>
      </w:pPr>
      <w:r>
        <w:rPr>
          <w:rFonts w:ascii="Times New Roman" w:hAnsi="Times New Roman"/>
          <w:b/>
          <w:sz w:val="22"/>
        </w:rPr>
        <w:t>III. SYSTEM ARCHITECTURE &amp; METHODOLOGY</w:t>
      </w:r>
    </w:p>
    <w:p>
      <w:r>
        <w:rPr>
          <w:rFonts w:ascii="Times New Roman" w:hAnsi="Times New Roman"/>
          <w:sz w:val="20"/>
        </w:rPr>
        <w:t>The SCI-INTEL architecture comprises: (1) metadata-aware ingestion assigning immutable SHA-256 digests; (2) dual representation extraction using frozen DINOv2 ViT-S/14 (for quality screening) and Phase-4 adapted projections (for retrieval); (3) quality-risk screening across 11 artifact classes; (4) spatial suspicious-region localization using patch feature residuals; (5) uncertainty-aware abstention using normalized Shannon entropy; and (6) evidence aggregation with deterministic lexical ranking.</w:t>
      </w:r>
    </w:p>
    <w:p>
      <w:pPr>
        <w:pStyle w:val="Heading1"/>
      </w:pPr>
      <w:r>
        <w:rPr>
          <w:rFonts w:ascii="Times New Roman" w:hAnsi="Times New Roman"/>
          <w:b/>
          <w:sz w:val="22"/>
        </w:rPr>
        <w:t>IV. EXPERIMENTAL PROTOCOL &amp; REPRODUCIBILITY</w:t>
      </w:r>
    </w:p>
    <w:p>
      <w:r>
        <w:rPr>
          <w:rFonts w:ascii="Times New Roman" w:hAnsi="Times New Roman"/>
          <w:sz w:val="20"/>
        </w:rPr>
        <w:t>Evaluation spans 6,085 active micrographs: HCCI SEM (427 train, 135 val, 212 test), Carinthia SEM (4,591), and BBBC021 optical (720). The train, validation, and test partitions contain identical declared alloy specimen classes; hence, unseen-specimen generalization is not established.</w:t>
      </w:r>
    </w:p>
    <w:p>
      <w:r>
        <w:rPr>
          <w:rFonts w:ascii="Times New Roman" w:hAnsi="Times New Roman"/>
          <w:sz w:val="20"/>
        </w:rPr>
        <w:t>We enforce strict separation between Protocol M (historical masked exclusion) and Protocol U (authoritative unmasked distractors). Mandatory notice: The Protocol-M and Protocol-U retrieval results were obtained under different same-acquisition handling rules and should therefore not be interpreted as directly comparable measurements.</w:t>
      </w:r>
    </w:p>
    <w:p>
      <w:pPr>
        <w:pStyle w:val="Heading1"/>
      </w:pPr>
      <w:r>
        <w:rPr>
          <w:rFonts w:ascii="Times New Roman" w:hAnsi="Times New Roman"/>
          <w:b/>
          <w:sz w:val="22"/>
        </w:rPr>
        <w:t>V. EXPERIMENTAL RESULTS</w:t>
      </w:r>
    </w:p>
    <w:p>
      <w:r>
        <w:rPr>
          <w:rFonts w:ascii="Times New Roman" w:hAnsi="Times New Roman"/>
          <w:sz w:val="20"/>
        </w:rPr>
        <w:t>A. Acquisition Robustness: Phase-4 adaptation reduces the observed acquisition gap from 0.2016 to 0.0681 (66.23% reduction, p = 5.03e-36, dz = 2.19), achieving Recall@5 of 0.9921 and MRR of 0.5261 under Protocol U.</w:t>
      </w:r>
    </w:p>
    <w:p>
      <w:r>
        <w:rPr>
          <w:rFonts w:ascii="Times New Roman" w:hAnsi="Times New Roman"/>
          <w:sz w:val="20"/>
        </w:rPr>
        <w:t>B. Quality Screening Trade-off: In contrast, frozen DINOv2 outperforms adapted projections by +5.14% Macro F1 on controlled artifact screening (0.6837 vs. 0.6323, AUROC 0.8582 vs. 0.8230), demonstrating complementary specialization.</w:t>
      </w:r>
    </w:p>
    <w:p>
      <w:r>
        <w:rPr>
          <w:rFonts w:ascii="Times New Roman" w:hAnsi="Times New Roman"/>
          <w:sz w:val="20"/>
        </w:rPr>
        <w:t>C. Spatial Localization: Saliency envelopes achieve mean IoU of 0.4454 across 500 test images.</w:t>
      </w:r>
    </w:p>
    <w:p>
      <w:r>
        <w:rPr>
          <w:rFonts w:ascii="Times New Roman" w:hAnsi="Times New Roman"/>
          <w:sz w:val="20"/>
        </w:rPr>
        <w:t>D. Operational Evidence Availability (Table VII): Across the evaluated N=55 query cohort, comparative evidence was retrieved for 100.0% of queries with 100% same-specimen cross-acquisition coverage, 100% cross-instrument coverage, 100% quality compatibility, mean 2 items, 0% duplicates, 0% missing provenance, and 100% deterministic ranking.</w:t>
      </w:r>
    </w:p>
    <w:p>
      <w:r>
        <w:rPr>
          <w:rFonts w:ascii="Times New Roman" w:hAnsi="Times New Roman"/>
          <w:sz w:val="20"/>
        </w:rPr>
        <w:t>E. Latency Profile (Table IX): Under the declared benchmark environment, the evaluated pipeline required a mean of 23.40 ms per image (Preprocessing: 0.35 ms, Dual representation: 3.12 ms, Quality assessment: 2.45 ms, Localization: 8.84 ms, Evidence retrieval: 4.22 ms, Aggregation: 4.42 ms), with a P95 latency of 28.30 ms.</w:t>
      </w:r>
    </w:p>
    <w:p>
      <w:pPr>
        <w:pStyle w:val="Heading1"/>
      </w:pPr>
      <w:r>
        <w:rPr>
          <w:rFonts w:ascii="Times New Roman" w:hAnsi="Times New Roman"/>
          <w:b/>
          <w:sz w:val="22"/>
        </w:rPr>
        <w:t>VI. DISCUSSION &amp; DUAL COMPOSITION</w:t>
      </w:r>
    </w:p>
    <w:p>
      <w:r>
        <w:rPr>
          <w:rFonts w:ascii="Times New Roman" w:hAnsi="Times New Roman"/>
          <w:sz w:val="20"/>
        </w:rPr>
        <w:t>The evaluated results support a specialization-oriented dual-representation architecture in which the frozen representations serve complementary downstream roles. Adapting representations to acquisition invariance projects out high-frequency sensor noise, which attenuates sensitivity to subtle image perturbations. A modular dual-representation architecture resolves this tension by assigning representations to their strongest evaluated roles without learning unverified fusion weights.</w:t>
      </w:r>
    </w:p>
    <w:p>
      <w:pPr>
        <w:pStyle w:val="Heading1"/>
      </w:pPr>
      <w:r>
        <w:rPr>
          <w:rFonts w:ascii="Times New Roman" w:hAnsi="Times New Roman"/>
          <w:b/>
          <w:sz w:val="22"/>
        </w:rPr>
        <w:t>VII. SCIENTIFIC LIMITATIONS &amp; BOUNDARIES</w:t>
      </w:r>
    </w:p>
    <w:p>
      <w:r>
        <w:rPr>
          <w:rFonts w:ascii="Times New Roman" w:hAnsi="Times New Roman"/>
          <w:sz w:val="20"/>
        </w:rPr>
        <w:t>1. Partition Overlap: Train, validation, and test partitions contain identical declared alloy classes; unseen-specimen generalization is not established.</w:t>
      </w:r>
    </w:p>
    <w:p>
      <w:r>
        <w:rPr>
          <w:rFonts w:ascii="Times New Roman" w:hAnsi="Times New Roman"/>
          <w:sz w:val="20"/>
        </w:rPr>
        <w:t>2. Synthetic vs. Physical Defect Boundary: Controlled synthetic perturbations do not encompass all real-world physical microscope defects.</w:t>
      </w:r>
    </w:p>
    <w:p>
      <w:r>
        <w:rPr>
          <w:rFonts w:ascii="Times New Roman" w:hAnsi="Times New Roman"/>
          <w:sz w:val="20"/>
        </w:rPr>
        <w:t>3. No Human Expert Validation: Human expert validation of scientific interpretation and physical artifact identity was not performed in this phase.</w:t>
      </w:r>
    </w:p>
    <w:p>
      <w:r>
        <w:rPr>
          <w:rFonts w:ascii="Times New Roman" w:hAnsi="Times New Roman"/>
          <w:sz w:val="20"/>
        </w:rPr>
        <w:t>4. Operational Evidence Availability vs. Correctness: Evidence availability is an operational metric and does not establish visual interpretation correctness.</w:t>
      </w:r>
    </w:p>
    <w:p>
      <w:r>
        <w:rPr>
          <w:rFonts w:ascii="Times New Roman" w:hAnsi="Times New Roman"/>
          <w:sz w:val="20"/>
        </w:rPr>
        <w:t>5. No Causal Reasoning: Evidence retrieval establishes geometric similarity; it does not constitute causal or diagnostic explanation.</w:t>
      </w:r>
    </w:p>
    <w:p>
      <w:r>
        <w:rPr>
          <w:rFonts w:ascii="Times New Roman" w:hAnsi="Times New Roman"/>
          <w:sz w:val="20"/>
        </w:rPr>
        <w:t>6. Model-Derived Localization: Saliency bounding envelopes are model-derived suspicious regions, not physically confirmed defect boundaries.</w:t>
      </w:r>
    </w:p>
    <w:p>
      <w:r>
        <w:rPr>
          <w:rFonts w:ascii="Times New Roman" w:hAnsi="Times New Roman"/>
          <w:sz w:val="20"/>
        </w:rPr>
        <w:t>7. Bounded OOD Scope: OOD screening on Carinthia/BBBC021 does not constitute open-world anomaly discovery.</w:t>
      </w:r>
    </w:p>
    <w:p>
      <w:r>
        <w:rPr>
          <w:rFonts w:ascii="Times New Roman" w:hAnsi="Times New Roman"/>
          <w:sz w:val="20"/>
        </w:rPr>
        <w:t>8. Bounded Acquisition Robustness: Generalization is demonstrated across HCCI SEM geometries; expansion to TEM/AFM remains unproven.</w:t>
      </w:r>
    </w:p>
    <w:p>
      <w:r>
        <w:rPr>
          <w:rFonts w:ascii="Times New Roman" w:hAnsi="Times New Roman"/>
          <w:sz w:val="20"/>
        </w:rPr>
        <w:t>9. Missing Metadata Constraints: Absent metadata fields can limit evidence interpretation.</w:t>
      </w:r>
    </w:p>
    <w:p>
      <w:r>
        <w:rPr>
          <w:rFonts w:ascii="Times New Roman" w:hAnsi="Times New Roman"/>
          <w:sz w:val="20"/>
        </w:rPr>
        <w:t>10. Hardware-Dependent Latency: Measured latencies depend on the benchmark execution environment.</w:t>
      </w:r>
    </w:p>
    <w:p>
      <w:r>
        <w:rPr>
          <w:rFonts w:ascii="Times New Roman" w:hAnsi="Times New Roman"/>
          <w:sz w:val="20"/>
        </w:rPr>
        <w:t>11. Protocol Incomparability: Protocol-M and Protocol-U retrieval metrics are not directly interchangeable.</w:t>
      </w:r>
    </w:p>
    <w:p>
      <w:r>
        <w:rPr>
          <w:rFonts w:ascii="Times New Roman" w:hAnsi="Times New Roman"/>
          <w:sz w:val="20"/>
        </w:rPr>
        <w:t>12. Deterministic Composition Principle: The dual representation is a modular composition, not a newly trained fusion model.</w:t>
      </w:r>
    </w:p>
    <w:p>
      <w:r>
        <w:rPr>
          <w:rFonts w:ascii="Times New Roman" w:hAnsi="Times New Roman"/>
          <w:sz w:val="20"/>
        </w:rPr>
        <w:t>13. Zero Medical/Clinical Claim: No clinical diagnosis or medical decision-making claim is made.</w:t>
      </w:r>
    </w:p>
    <w:p>
      <w:pPr>
        <w:pStyle w:val="Heading1"/>
      </w:pPr>
      <w:r>
        <w:rPr>
          <w:rFonts w:ascii="Times New Roman" w:hAnsi="Times New Roman"/>
          <w:b/>
          <w:sz w:val="22"/>
        </w:rPr>
        <w:t>VIII. CONCLUSION &amp; FUTURE WORK</w:t>
      </w:r>
    </w:p>
    <w:p>
      <w:r>
        <w:rPr>
          <w:rFonts w:ascii="Times New Roman" w:hAnsi="Times New Roman"/>
          <w:sz w:val="20"/>
        </w:rPr>
        <w:t>SCI-INTEL provides a reproducible, scientifically verified platform for acquisition-aware scientific image retrieval and quality-aware curation. The current manuscript is formatted as a 4-page IEEE-style two-column document. Future investigations should prioritize multi-center human expert reader studies, physically validated hardware defect datasets, and cross-modality evaluation across TEM and AFM archives.</w:t>
      </w:r>
    </w:p>
    <w:p>
      <w:pPr>
        <w:pStyle w:val="Heading1"/>
      </w:pPr>
      <w:r>
        <w:rPr>
          <w:rFonts w:ascii="Times New Roman" w:hAnsi="Times New Roman"/>
          <w:b/>
          <w:sz w:val="22"/>
        </w:rPr>
        <w:t>REFERENCES</w:t>
      </w:r>
    </w:p>
    <w:p>
      <w:r>
        <w:rPr>
          <w:rFonts w:ascii="Times New Roman" w:hAnsi="Times New Roman"/>
          <w:sz w:val="20"/>
        </w:rPr>
        <w:t>1. M. Oquab et al., 'DINOv2: Learning Robust Visual Features without Supervision,' TMLR, 2023.</w:t>
      </w:r>
    </w:p>
    <w:p>
      <w:r>
        <w:rPr>
          <w:rFonts w:ascii="Times New Roman" w:hAnsi="Times New Roman"/>
          <w:sz w:val="20"/>
        </w:rPr>
        <w:t>2. M. Caron et al., 'Emerging Properties in Self-Supervised Vision Transformers,' in ICCV, 2021.</w:t>
      </w:r>
    </w:p>
    <w:p>
      <w:r>
        <w:rPr>
          <w:rFonts w:ascii="Times New Roman" w:hAnsi="Times New Roman"/>
          <w:sz w:val="20"/>
        </w:rPr>
        <w:t>3. A. Dosovitskiy et al., 'An Image is Worth 16x16 Words: Transformers for Image Recognition at Scale,' in ICLR, 2021.</w:t>
      </w:r>
    </w:p>
    <w:p>
      <w:r>
        <w:rPr>
          <w:rFonts w:ascii="Times New Roman" w:hAnsi="Times New Roman"/>
          <w:sz w:val="20"/>
        </w:rPr>
        <w:t>4. K. He et al., 'Masked Autoencoders Are Scalable Vision Learners,' in CVPR, 2022.</w:t>
      </w:r>
    </w:p>
    <w:p>
      <w:r>
        <w:rPr>
          <w:rFonts w:ascii="Times New Roman" w:hAnsi="Times New Roman"/>
          <w:sz w:val="20"/>
        </w:rPr>
        <w:t>5. P. Khosla et al., 'Supervised Contrastive Learning,' in NeurIPS, 2020.</w:t>
      </w:r>
    </w:p>
    <w:p>
      <w:r>
        <w:rPr>
          <w:rFonts w:ascii="Times New Roman" w:hAnsi="Times New Roman"/>
          <w:sz w:val="20"/>
        </w:rPr>
        <w:t>6. T. Chen et al., 'A Simple Framework for Contrastive Learning of Visual Representations,' in ICML, 2020.</w:t>
      </w:r>
    </w:p>
    <w:p>
      <w:r>
        <w:rPr>
          <w:rFonts w:ascii="Times New Roman" w:hAnsi="Times New Roman"/>
          <w:sz w:val="20"/>
        </w:rPr>
        <w:t>7. Y. Ganin et al., 'Domain-Adversarial Training of Neural Networks,' JMLR, 2016.</w:t>
      </w:r>
    </w:p>
    <w:p>
      <w:r>
        <w:rPr>
          <w:rFonts w:ascii="Times New Roman" w:hAnsi="Times New Roman"/>
          <w:sz w:val="20"/>
        </w:rPr>
        <w:t>8. J. Johnson, M. Douze, and H. Jégou, 'Billion-Scale Similarity Search with GPUs,' IEEE Trans. Big Data, 2019.</w:t>
      </w:r>
    </w:p>
    <w:p>
      <w:r>
        <w:rPr>
          <w:rFonts w:ascii="Times New Roman" w:hAnsi="Times New Roman"/>
          <w:sz w:val="20"/>
        </w:rPr>
        <w:t>9. M. Douze et al., 'The Faiss Library,' IEEE TPAMI, 2024.</w:t>
      </w:r>
    </w:p>
    <w:p>
      <w:r>
        <w:rPr>
          <w:rFonts w:ascii="Times New Roman" w:hAnsi="Times New Roman"/>
          <w:sz w:val="20"/>
        </w:rPr>
        <w:t>10. Y. A. Malkov and D. A. Yashunin, 'Efficient and Robust Approximate Nearest Neighbor Search Using HNSW Graphs,' IEEE TPAMI, 2018.</w:t>
      </w:r>
    </w:p>
    <w:p>
      <w:r>
        <w:rPr>
          <w:rFonts w:ascii="Times New Roman" w:hAnsi="Times New Roman"/>
          <w:sz w:val="20"/>
        </w:rPr>
        <w:t>11. H. Jégou, M. Douze, and C. Schmid, 'Product Quantization for Nearest Neighbor Search,' IEEE TPAMI, 2011.</w:t>
      </w:r>
    </w:p>
    <w:p>
      <w:r>
        <w:rPr>
          <w:rFonts w:ascii="Times New Roman" w:hAnsi="Times New Roman"/>
          <w:sz w:val="20"/>
        </w:rPr>
        <w:t>12. B. L. DeCost, T. Francis, and E. A. Holm, 'Exploring the Microstructure Manifold: Image Representation, Similarity, and Retrieval in Materials Science,' IMMI, 2017.</w:t>
      </w:r>
    </w:p>
    <w:p>
      <w:r>
        <w:rPr>
          <w:rFonts w:ascii="Times New Roman" w:hAnsi="Times New Roman"/>
          <w:sz w:val="20"/>
        </w:rPr>
        <w:t>13. J. Stuckner, B. Harder, and T. M. Smith, 'Microstructure Classification and Retrieval Using Computer Vision,' Comput. Mater. Sci., 2022.</w:t>
      </w:r>
    </w:p>
    <w:p>
      <w:r>
        <w:rPr>
          <w:rFonts w:ascii="Times New Roman" w:hAnsi="Times New Roman"/>
          <w:sz w:val="20"/>
        </w:rPr>
        <w:t>14. K. Choudhary et al., 'Recent Advances and Applications of Deep Learning in Materials Science,' npj Comput. Mater., 2022.</w:t>
      </w:r>
    </w:p>
    <w:p>
      <w:r>
        <w:rPr>
          <w:rFonts w:ascii="Times New Roman" w:hAnsi="Times New Roman"/>
          <w:sz w:val="20"/>
        </w:rPr>
        <w:t>15. T. Baltrušaitis, C. Ahuja, and L. P. Morency, 'Multimodal Machine Learning: A Survey and Taxonomy,' IEEE TPAMI, 2018.</w:t>
      </w:r>
    </w:p>
    <w:p>
      <w:r>
        <w:rPr>
          <w:rFonts w:ascii="Times New Roman" w:hAnsi="Times New Roman"/>
          <w:sz w:val="20"/>
        </w:rPr>
        <w:t>16. A. Radford et al., 'Learning Transferable Visual Models From Natural Language Supervision,' in ICML, 2021.</w:t>
      </w:r>
    </w:p>
    <w:p>
      <w:r>
        <w:rPr>
          <w:rFonts w:ascii="Times New Roman" w:hAnsi="Times New Roman"/>
          <w:sz w:val="20"/>
        </w:rPr>
        <w:t>17. R. J. Chen et al., 'Multimodal Co-Attention Transformer for Survival Prediction in Gigapixel Whole Slide Images,' IEEE TMI, 2021.</w:t>
      </w:r>
    </w:p>
    <w:p>
      <w:r>
        <w:rPr>
          <w:rFonts w:ascii="Times New Roman" w:hAnsi="Times New Roman"/>
          <w:sz w:val="20"/>
        </w:rPr>
        <w:t>18. Z. Wang et al., 'Image Quality Assessment: From Error Visibility to Structural Similarity,' IEEE TIP, 2004.</w:t>
      </w:r>
    </w:p>
    <w:p>
      <w:r>
        <w:rPr>
          <w:rFonts w:ascii="Times New Roman" w:hAnsi="Times New Roman"/>
          <w:sz w:val="20"/>
        </w:rPr>
        <w:t>19. A. Mittal, A. K. Moorthy, and A. C. Bovik, 'No-Reference Image Quality Assessment in the Spatial Domain,' IEEE TIP, 2012.</w:t>
      </w:r>
    </w:p>
    <w:p>
      <w:r>
        <w:rPr>
          <w:rFonts w:ascii="Times New Roman" w:hAnsi="Times New Roman"/>
          <w:sz w:val="20"/>
        </w:rPr>
        <w:t>20. E. Krotkov, 'Focusing,' IJCV, 1987.</w:t>
      </w:r>
    </w:p>
    <w:p>
      <w:r>
        <w:rPr>
          <w:rFonts w:ascii="Times New Roman" w:hAnsi="Times New Roman"/>
          <w:sz w:val="20"/>
        </w:rPr>
        <w:t>21. J. Yang, K. Zhou, Y. Li, and Z. Liu, 'Generalized Out-of-Distribution Detection: A Survey,' arXiv:2110.11334, 2021.</w:t>
      </w:r>
    </w:p>
    <w:p>
      <w:r>
        <w:rPr>
          <w:rFonts w:ascii="Times New Roman" w:hAnsi="Times New Roman"/>
          <w:sz w:val="20"/>
        </w:rPr>
        <w:t>22. M. D. Wilkinson et al., 'The FAIR Guiding Principles for Scientific Data Management and Stewardship,' Scientific Data, 2016.</w:t>
      </w:r>
    </w:p>
    <w:p>
      <w:r>
        <w:rPr>
          <w:rFonts w:ascii="Times New Roman" w:hAnsi="Times New Roman"/>
          <w:sz w:val="20"/>
        </w:rPr>
        <w:t>23. A. Paszke et al., 'PyTorch: An Imperative Style, High-Performance Deep Learning Library,' in NeurIPS, 2019.</w:t>
      </w:r>
    </w:p>
    <w:p>
      <w:r>
        <w:rPr>
          <w:rFonts w:ascii="Times New Roman" w:hAnsi="Times New Roman"/>
          <w:sz w:val="20"/>
        </w:rPr>
        <w:t>24. C. Zauner, 'Implementation and Benchmarking of Perceptual Image Hash Functions,' Master thesis, FH Hagenberg,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