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30" w:line="276" w:lineRule="auto"/>
      </w:pPr>
      <w:r>
        <w:rPr>
          <w:b/>
          <w:color w:val="1F3A5F"/>
          <w:spacing w:val="30"/>
          <w:sz w:val="46"/>
          <w:szCs w:val="46"/>
        </w:rPr>
        <w:t xml:space="preserve">PRANITH JAIN</w:t>
      </w:r>
    </w:p>
    <w:p>
      <w:pPr>
        <w:jc w:val="center"/>
        <w:spacing w:before="0" w:after="40" w:line="276" w:lineRule="auto"/>
      </w:pPr>
      <w:r>
        <w:rPr>
          <w:b/>
          <w:color w:val="2C5F8A"/>
          <w:spacing w:val="14"/>
          <w:sz w:val="21"/>
          <w:szCs w:val="21"/>
        </w:rPr>
        <w:t xml:space="preserve">Threat Intelligence Analyst | OSINT Investigations | Threat Hunting</w:t>
      </w:r>
    </w:p>
    <w:p>
      <w:pPr>
        <w:pBdr>
          <w:bottom w:val="single" w:sz="6" w:space="3" w:color="C9D4E0"/>
        </w:pBdr>
        <w:jc w:val="center"/>
        <w:spacing w:before="0" w:after="60" w:line="276" w:lineRule="auto"/>
      </w:pPr>
      <w:r>
        <w:rPr>
          <w:color w:val="5A6675"/>
          <w:sz w:val="17"/>
          <w:szCs w:val="17"/>
        </w:rPr>
        <w:t xml:space="preserve">hello@pranithjain.qzz.io | +91 8310386578 | linkedin.com/in/pranithjain | github.com/Pranith-Jain | pranithjain.qzz.io</w:t>
      </w:r>
    </w:p>
    <w:p>
      <w:pPr>
        <w:pBdr>
          <w:bottom w:val="single" w:sz="6" w:space="3" w:color="C9D4E0"/>
        </w:pBdr>
        <w:spacing w:before="200" w:after="70" w:line="276" w:lineRule="auto"/>
      </w:pPr>
      <w:r>
        <w:rPr>
          <w:b/>
          <w:color w:val="1F3A5F"/>
          <w:spacing w:val="16"/>
          <w:sz w:val="23"/>
          <w:szCs w:val="23"/>
        </w:rPr>
        <w:t xml:space="preserve">PROFESSIONAL SUMMARY</w:t>
      </w:r>
    </w:p>
    <w:p>
      <w:pPr>
        <w:spacing w:before="0" w:after="80" w:line="276" w:lineRule="auto"/>
      </w:pPr>
      <w:r>
        <w:rPr>
          <w:color w:val="222222"/>
          <w:sz w:val="20"/>
          <w:szCs w:val="20"/>
        </w:rPr>
        <w:t xml:space="preserve">Threat intelligence analyst with over two years tracking threat actors and running OSINT investigations across a portfolio of 150+ companies. Triaged 250+ phishing, BEC, and malware incidents by pivoting on indicators of compromise and mapping activity to MITRE ATT&amp;CK, and traced 30+ domain-impersonation campaigns through certificate-transparency and dark-web monitoring. Built automated enrichment pipelines that brought mean response time down 68%. Also builds and runs a public threat-intelligence platform that pulls from 90+ open-source feeds, along with an open-source DFIR toolkit.</w:t>
      </w:r>
    </w:p>
    <w:p>
      <w:pPr>
        <w:pBdr>
          <w:bottom w:val="single" w:sz="6" w:space="3" w:color="C9D4E0"/>
        </w:pBdr>
        <w:spacing w:before="200" w:after="70" w:line="276" w:lineRule="auto"/>
      </w:pPr>
      <w:r>
        <w:rPr>
          <w:b/>
          <w:color w:val="1F3A5F"/>
          <w:spacing w:val="16"/>
          <w:sz w:val="23"/>
          <w:szCs w:val="23"/>
        </w:rPr>
        <w:t xml:space="preserve">EXPERIENCE</w:t>
      </w:r>
    </w:p>
    <w:p>
      <w:pPr>
        <w:spacing w:before="60" w:after="24" w:line="276" w:lineRule="auto"/>
      </w:pPr>
      <w:r>
        <w:rPr>
          <w:b/>
          <w:color w:val="1F3A5F"/>
          <w:sz w:val="21"/>
          <w:szCs w:val="21"/>
        </w:rPr>
        <w:t xml:space="preserve">Threat Intelligence &amp; Security Analyst | Qubit Capital</w:t>
      </w:r>
    </w:p>
    <w:p>
      <w:pPr>
        <w:tabs>
          <w:tab w:val="right" w:pos="10720"/>
        </w:tabs>
        <w:spacing w:before="0" w:after="60" w:line="276" w:lineRule="auto"/>
      </w:pPr>
      <w:r>
        <w:rPr>
          <w:i/>
          <w:color w:val="5A6675"/>
          <w:sz w:val="18"/>
          <w:szCs w:val="18"/>
        </w:rPr>
        <w:t xml:space="preserve">Remote</w:t>
      </w:r>
      <w:r>
        <w:tab/>
      </w:r>
      <w:r>
        <w:rPr>
          <w:i/>
          <w:color w:val="5A6675"/>
          <w:sz w:val="18"/>
          <w:szCs w:val="18"/>
        </w:rPr>
        <w:t xml:space="preserve">Jul 2024 - Present</w:t>
      </w:r>
    </w:p>
    <w:p>
      <w:pPr>
        <w:spacing w:before="0" w:after="64" w:line="276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Triaged 250+ phishing, BEC, and malware incidents across 150+ portfolio companies, pivoting on indicators of compromise (sender IPs, domains, hashes) and mapping techniques to MITRE ATT&amp;CK.</w:t>
      </w:r>
    </w:p>
    <w:p>
      <w:pPr>
        <w:spacing w:before="0" w:after="64" w:line="276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Found and took down 30+ lookalike-domain and brand-impersonation campaigns using certificate-transparency monitoring and infrastructure pivoting, which cut the phishing attack surface by about 40%. Weekly findings fed straight into portfolio-wide risk decisions.</w:t>
      </w:r>
    </w:p>
    <w:p>
      <w:pPr>
        <w:spacing w:before="0" w:after="64" w:line="276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Wrote weekly threat-intelligence briefings on ransomware activity, CVE/KEV exposure, and new campaigns to guide remediation priorities across the portfolio.</w:t>
      </w:r>
    </w:p>
    <w:p>
      <w:pPr>
        <w:spacing w:before="0" w:after="64" w:line="276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Cut mean response time from 4 hours to under 75 minutes by building automated phishing-triage and enrichment pipelines in n8n, so analysts no longer wait on manual lookups.</w:t>
      </w:r>
    </w:p>
    <w:p>
      <w:pPr>
        <w:spacing w:before="0" w:after="64" w:line="276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Lowered the false-positive rate by 25% and per-incident analysis time by 35% by refining detection rules; remediation success stayed above 90%.</w:t>
      </w:r>
    </w:p>
    <w:p>
      <w:pPr>
        <w:spacing w:before="0" w:after="64" w:line="276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Brought SPF, DKIM, and DMARC alignment to 98%+ across 1,300+ domains, which cut spoofing-based phishing by roughly 60%.</w:t>
      </w:r>
    </w:p>
    <w:p>
      <w:pPr>
        <w:spacing w:before="60" w:after="24" w:line="276" w:lineRule="auto"/>
      </w:pPr>
      <w:r>
        <w:rPr>
          <w:b/>
          <w:color w:val="1F3A5F"/>
          <w:sz w:val="21"/>
          <w:szCs w:val="21"/>
        </w:rPr>
        <w:t xml:space="preserve">Infrastructure &amp; Email Security Analyst | UnifyCX</w:t>
      </w:r>
    </w:p>
    <w:p>
      <w:pPr>
        <w:tabs>
          <w:tab w:val="right" w:pos="10720"/>
        </w:tabs>
        <w:spacing w:before="0" w:after="60" w:line="276" w:lineRule="auto"/>
      </w:pPr>
      <w:r>
        <w:rPr>
          <w:i/>
          <w:color w:val="5A6675"/>
          <w:sz w:val="18"/>
          <w:szCs w:val="18"/>
        </w:rPr>
        <w:t xml:space="preserve">Mysore, India</w:t>
      </w:r>
      <w:r>
        <w:tab/>
      </w:r>
      <w:r>
        <w:rPr>
          <w:i/>
          <w:color w:val="5A6675"/>
          <w:sz w:val="18"/>
          <w:szCs w:val="18"/>
        </w:rPr>
        <w:t xml:space="preserve">Sep 2023 - Jul 2024</w:t>
      </w:r>
    </w:p>
    <w:p>
      <w:pPr>
        <w:spacing w:before="0" w:after="64" w:line="276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Investigated and cleaned up 60+ compromised web assets through malware removal, WAF tuning, and XSS fixes, closing 98% on the first pass with no regressions.</w:t>
      </w:r>
    </w:p>
    <w:p>
      <w:pPr>
        <w:spacing w:before="0" w:after="64" w:line="276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Restored inbox placement from 60% to 95% for 200+ enterprise domains by clearing IP blacklistings and fixing SPF/DKIM/DMARC misconfigurations; delivery failures dropped more than 40%.</w:t>
      </w:r>
    </w:p>
    <w:p>
      <w:pPr>
        <w:spacing w:before="0" w:after="64" w:line="276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Automated SSL/TLS certificate renewal for 300+ domains, which put an end to recurring renewal-day outages.</w:t>
      </w:r>
    </w:p>
    <w:p>
      <w:pPr>
        <w:spacing w:before="60" w:after="24" w:line="276" w:lineRule="auto"/>
      </w:pPr>
      <w:r>
        <w:rPr>
          <w:b/>
          <w:color w:val="1F3A5F"/>
          <w:sz w:val="21"/>
          <w:szCs w:val="21"/>
        </w:rPr>
        <w:t xml:space="preserve">Associate Software Developer | TekWorks</w:t>
      </w:r>
    </w:p>
    <w:p>
      <w:pPr>
        <w:tabs>
          <w:tab w:val="right" w:pos="10720"/>
        </w:tabs>
        <w:spacing w:before="0" w:after="60" w:line="276" w:lineRule="auto"/>
      </w:pPr>
      <w:r>
        <w:rPr>
          <w:i/>
          <w:color w:val="5A6675"/>
          <w:sz w:val="18"/>
          <w:szCs w:val="18"/>
        </w:rPr>
        <w:t xml:space="preserve">Vijayawada, India</w:t>
      </w:r>
      <w:r>
        <w:tab/>
      </w:r>
      <w:r>
        <w:rPr>
          <w:i/>
          <w:color w:val="5A6675"/>
          <w:sz w:val="18"/>
          <w:szCs w:val="18"/>
        </w:rPr>
        <w:t xml:space="preserve">Mar 2023 - Sep 2023</w:t>
      </w:r>
    </w:p>
    <w:p>
      <w:pPr>
        <w:spacing w:before="0" w:after="64" w:line="276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Built a hospital management system with a responsive front end and a REST API backend, replacing years of paper and Excel; owned appointment scheduling and billing from start to finish.</w:t>
      </w:r>
    </w:p>
    <w:p>
      <w:pPr>
        <w:pBdr>
          <w:bottom w:val="single" w:sz="6" w:space="3" w:color="C9D4E0"/>
        </w:pBdr>
        <w:spacing w:before="200" w:after="70" w:line="276" w:lineRule="auto"/>
      </w:pPr>
      <w:r>
        <w:rPr>
          <w:b/>
          <w:color w:val="1F3A5F"/>
          <w:spacing w:val="16"/>
          <w:sz w:val="23"/>
          <w:szCs w:val="23"/>
        </w:rPr>
        <w:t xml:space="preserve">KEY PROJECTS</w:t>
      </w:r>
    </w:p>
    <w:p>
      <w:pPr>
        <w:spacing w:before="0" w:after="64" w:line="276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Threat Intelligence Platform:</w:t>
      </w:r>
      <w:r>
        <w:rPr>
          <w:color w:val="222222"/>
          <w:sz w:val="20"/>
          <w:szCs w:val="20"/>
        </w:rPr>
        <w:t xml:space="preserve"> Live CTI platform with 20+ surfaces that correlate indicators from 90+ open-source feeds, covering ransomware and negotiation tracking, CVE/KEV intelligence, threat-actor profiles, Telegram/Reddit/Bluesky aggregation, an auto-publishing case-study blog, and generated intelligence briefings. Exports STIX 2.1, runs on Cloudflare, and needs no API keys.</w:t>
      </w:r>
    </w:p>
    <w:p>
      <w:pPr>
        <w:spacing w:before="0" w:after="64" w:line="276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DFIR Toolkit:</w:t>
      </w:r>
      <w:r>
        <w:rPr>
          <w:color w:val="222222"/>
          <w:sz w:val="20"/>
          <w:szCs w:val="20"/>
        </w:rPr>
        <w:t xml:space="preserve"> 65+ interactive security tools on Cloudflare Workers, including an SSE-streaming IOC checker (24 providers), malware scanner, phishing analyzer, reputation checks against 19 DNSBLs, CVE lookup with EPSS/KEV, and a STIX 2.1 visualizer. Runs client-side or at the edge, with no servers to manage.</w:t>
      </w:r>
    </w:p>
    <w:p>
      <w:pPr>
        <w:spacing w:before="0" w:after="64" w:line="276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Email Infrastructure Automation:</w:t>
      </w:r>
      <w:r>
        <w:rPr>
          <w:color w:val="222222"/>
          <w:sz w:val="20"/>
          <w:szCs w:val="20"/>
        </w:rPr>
        <w:t xml:space="preserve"> Automated domain onboarding for 1,300+ domains, cutting setup from about 4 hours to under 10 minutes each. Built an MCP server that exposes 23 analytics tools across 2,700+ inboxes.</w:t>
      </w:r>
    </w:p>
    <w:p>
      <w:pPr>
        <w:pBdr>
          <w:bottom w:val="single" w:sz="6" w:space="3" w:color="C9D4E0"/>
        </w:pBdr>
        <w:spacing w:before="200" w:after="70" w:line="276" w:lineRule="auto"/>
      </w:pPr>
      <w:r>
        <w:rPr>
          <w:b/>
          <w:color w:val="1F3A5F"/>
          <w:spacing w:val="16"/>
          <w:sz w:val="23"/>
          <w:szCs w:val="23"/>
        </w:rPr>
        <w:t xml:space="preserve">TECHNICAL SKILLS</w:t>
      </w:r>
    </w:p>
    <w:p>
      <w:pPr>
        <w:spacing w:before="0" w:after="64" w:line="276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Threat Intelligence:</w:t>
      </w:r>
      <w:r>
        <w:rPr>
          <w:color w:val="222222"/>
          <w:sz w:val="20"/>
          <w:szCs w:val="20"/>
        </w:rPr>
        <w:t xml:space="preserve"> Cyber threat intelligence (CTI), OSINT investigation, IOC enrichment &amp; correlation, threat-actor tracking, MITRE ATT&amp;CK mapping, threat hunting, dark-web monitoring, certificate-transparency analysis, CVE/KEV prioritization, STIX 2.1 / TAXII</w:t>
      </w:r>
    </w:p>
    <w:p>
      <w:pPr>
        <w:spacing w:before="0" w:after="64" w:line="276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Incident Response &amp; Forensics:</w:t>
      </w:r>
      <w:r>
        <w:rPr>
          <w:color w:val="222222"/>
          <w:sz w:val="20"/>
          <w:szCs w:val="20"/>
        </w:rPr>
        <w:t xml:space="preserve"> Phishing &amp; BEC analysis, email header analysis, sandbox detonation, malware triage, indicator pivoting, email forensics</w:t>
      </w:r>
    </w:p>
    <w:p>
      <w:pPr>
        <w:spacing w:before="0" w:after="64" w:line="276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Email Security:</w:t>
      </w:r>
      <w:r>
        <w:rPr>
          <w:color w:val="222222"/>
          <w:sz w:val="20"/>
          <w:szCs w:val="20"/>
        </w:rPr>
        <w:t xml:space="preserve"> SPF, DKIM, DMARC, BIMI, MTA-STS, TLS-RPT, Proofpoint, Google Workspace</w:t>
      </w:r>
    </w:p>
    <w:p>
      <w:pPr>
        <w:spacing w:before="0" w:after="64" w:line="276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Security Engineering &amp; Automation:</w:t>
      </w:r>
      <w:r>
        <w:rPr>
          <w:color w:val="222222"/>
          <w:sz w:val="20"/>
          <w:szCs w:val="20"/>
        </w:rPr>
        <w:t xml:space="preserve"> n8n, MCP, Python, TypeScript, Cloudflare Workers, Hono, React, detection engineering, SOC automation</w:t>
      </w:r>
    </w:p>
    <w:p>
      <w:pPr>
        <w:spacing w:before="0" w:after="64" w:line="276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Identity &amp; NHI Security:</w:t>
      </w:r>
      <w:r>
        <w:rPr>
          <w:color w:val="222222"/>
          <w:sz w:val="20"/>
          <w:szCs w:val="20"/>
        </w:rPr>
        <w:t xml:space="preserve"> Non-Human Identity (NHI) governance, machine-identity &amp; secrets lifecycle, IAM, Zero Trust, identity governance, access reviews, SSO/MFA</w:t>
      </w:r>
    </w:p>
    <w:p>
      <w:pPr>
        <w:spacing w:before="0" w:after="64" w:line="276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b/>
          <w:color w:val="2C5F8A"/>
          <w:sz w:val="20"/>
          <w:szCs w:val="20"/>
        </w:rPr>
        <w:t xml:space="preserve">Cloud Security:</w:t>
      </w:r>
      <w:r>
        <w:rPr>
          <w:color w:val="222222"/>
          <w:sz w:val="20"/>
          <w:szCs w:val="20"/>
        </w:rPr>
        <w:t xml:space="preserve"> GCP, AWS, Azure, cloud workload protection</w:t>
      </w:r>
    </w:p>
    <w:p>
      <w:pPr>
        <w:pBdr>
          <w:bottom w:val="single" w:sz="6" w:space="3" w:color="C9D4E0"/>
        </w:pBdr>
        <w:spacing w:before="200" w:after="70" w:line="276" w:lineRule="auto"/>
      </w:pPr>
      <w:r>
        <w:rPr>
          <w:b/>
          <w:color w:val="1F3A5F"/>
          <w:spacing w:val="16"/>
          <w:sz w:val="23"/>
          <w:szCs w:val="23"/>
        </w:rPr>
        <w:t xml:space="preserve">CERTIFICATIONS</w:t>
      </w:r>
    </w:p>
    <w:p>
      <w:pPr>
        <w:spacing w:before="0" w:after="64" w:line="276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Cyber Threat Intelligence 101, arcX (2025) · Social Media Intelligence (SOCMINT), CyberSudo (2026)</w:t>
      </w:r>
    </w:p>
    <w:p>
      <w:pPr>
        <w:spacing w:before="0" w:after="64" w:line="276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Certified Cyber Criminologist, Virtual Cyber Labs (2025) · Certified AI Security Expert, Virtual Cyber Labs (2026)</w:t>
      </w:r>
    </w:p>
    <w:p>
      <w:pPr>
        <w:spacing w:before="0" w:after="64" w:line="276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Multi-Cloud Blue Team Analyst (MCBTA), CyberWarFare Labs (2025) · Google Cloud Cybersecurity Certificate, Google (2025)</w:t>
      </w:r>
    </w:p>
    <w:p>
      <w:pPr>
        <w:spacing w:before="0" w:after="64" w:line="276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Proofpoint Certified AI Agent Security Specialist, Proofpoint (2026) · Proofpoint AI Email Security Specialist, Proofpoint (2025)</w:t>
      </w:r>
    </w:p>
    <w:p>
      <w:pPr>
        <w:spacing w:before="0" w:after="64" w:line="276" w:lineRule="auto"/>
        <w:ind w:left="216" w:hanging="216"/>
      </w:pPr>
      <w:r>
        <w:rPr>
          <w:b/>
          <w:color w:val="2C5F8A"/>
          <w:sz w:val="18"/>
          <w:szCs w:val="18"/>
        </w:rPr>
        <w:t xml:space="preserve">▪</w:t>
      </w:r>
      <w:r>
        <w:rPr>
          <w:sz w:val="20"/>
          <w:szCs w:val="20"/>
        </w:rPr>
        <w:t xml:space="preserve">   </w:t>
      </w:r>
      <w:r>
        <w:rPr>
          <w:color w:val="222222"/>
          <w:sz w:val="20"/>
          <w:szCs w:val="20"/>
        </w:rPr>
        <w:t xml:space="preserve">DSPM Fundamentals, Securiti AI (2025) · Data Loss Prevention Survival Guide, Antisyphon Training (2026)</w:t>
      </w:r>
    </w:p>
    <w:p>
      <w:pPr>
        <w:pBdr>
          <w:bottom w:val="single" w:sz="6" w:space="3" w:color="C9D4E0"/>
        </w:pBdr>
        <w:spacing w:before="200" w:after="70" w:line="276" w:lineRule="auto"/>
      </w:pPr>
      <w:r>
        <w:rPr>
          <w:b/>
          <w:color w:val="1F3A5F"/>
          <w:spacing w:val="16"/>
          <w:sz w:val="23"/>
          <w:szCs w:val="23"/>
        </w:rPr>
        <w:t xml:space="preserve">EDUCATION</w:t>
      </w:r>
    </w:p>
    <w:p>
      <w:pPr>
        <w:spacing w:before="60" w:after="24" w:line="276" w:lineRule="auto"/>
      </w:pPr>
      <w:r>
        <w:rPr>
          <w:b/>
          <w:color w:val="1F3A5F"/>
          <w:sz w:val="21"/>
          <w:szCs w:val="21"/>
        </w:rPr>
        <w:t xml:space="preserve">Bachelor of Engineering, Computer Science</w:t>
      </w:r>
    </w:p>
    <w:p>
      <w:pPr>
        <w:tabs>
          <w:tab w:val="right" w:pos="10720"/>
        </w:tabs>
        <w:spacing w:before="0" w:after="60" w:line="276" w:lineRule="auto"/>
      </w:pPr>
      <w:r>
        <w:rPr>
          <w:i/>
          <w:color w:val="5A6675"/>
          <w:sz w:val="18"/>
          <w:szCs w:val="18"/>
        </w:rPr>
        <w:t xml:space="preserve">Visvesvaraya Technological University (VTU)</w:t>
      </w:r>
      <w:r>
        <w:tab/>
      </w:r>
      <w:r>
        <w:rPr>
          <w:i/>
          <w:color w:val="5A6675"/>
          <w:sz w:val="18"/>
          <w:szCs w:val="18"/>
        </w:rPr>
        <w:t xml:space="preserve">2019 - Jul 2023</w:t>
      </w:r>
    </w:p>
    <w:sectPr>
      <w:pgSz w:w="12240" w:h="15840"/>
      <w:pgMar w:top="620" w:right="760" w:bottom="600" w:left="760" w:header="480" w:footer="48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>
  <Application>resume-builder</Application>
</Properties>
</file>

<file path=docProps/core.xml><?xml version="1.0" encoding="utf-8"?>
<cp:coreProperties xmlns:cp="http://schemas.openxmlformats.org/package/2006/metadata/core-properties" xmlns:dc="http://purl.org/dc/elements/1.1/">
  <dc:title>Pranith Jain — Resume</dc:title>
  <dc:creator>Pranith Jain</dc:creator>
</cp:coreProperties>
</file>