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officeDocument/2006/relationships/extended-properties" Target="docProps/app.xml"/><Relationship Id="rId3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>
  <w:body>
    <w:p>
      <w:pPr>
        <w:jc w:val="center"/>
        <w:spacing w:before="0" w:after="30" w:line="240" w:lineRule="auto"/>
      </w:pPr>
      <w:r>
        <w:rPr>
          <w:b/>
          <w:color w:val="1F3A5F"/>
          <w:spacing w:val="30"/>
          <w:sz w:val="46"/>
          <w:szCs w:val="46"/>
        </w:rPr>
        <w:t xml:space="preserve">PRANITH JAIN</w:t>
      </w:r>
    </w:p>
    <w:p>
      <w:pPr>
        <w:jc w:val="center"/>
        <w:spacing w:before="0" w:after="40" w:line="240" w:lineRule="auto"/>
      </w:pPr>
      <w:r>
        <w:rPr>
          <w:b/>
          <w:color w:val="2C5F8A"/>
          <w:spacing w:val="14"/>
          <w:sz w:val="21"/>
          <w:szCs w:val="21"/>
        </w:rPr>
        <w:t xml:space="preserve">Threat Intelligence Analyst | OSINT Investigations | Threat Hunting</w:t>
      </w:r>
    </w:p>
    <w:p>
      <w:pPr>
        <w:pBdr>
          <w:bottom w:val="single" w:sz="6" w:space="3" w:color="C9D4E0"/>
        </w:pBdr>
        <w:jc w:val="center"/>
        <w:spacing w:before="0" w:after="60" w:line="240" w:lineRule="auto"/>
      </w:pPr>
      <w:r>
        <w:rPr>
          <w:color w:val="5A6675"/>
          <w:sz w:val="17"/>
          <w:szCs w:val="17"/>
        </w:rPr>
        <w:t xml:space="preserve">hello@pranithjain.qzz.io | +91 8310386578 | linkedin.com/in/pranithjain | github.com/Pranith-Jain | pranithjain.qzz.io</w:t>
      </w:r>
    </w:p>
    <w:p>
      <w:pPr>
        <w:pBdr>
          <w:bottom w:val="single" w:sz="6" w:space="3" w:color="C9D4E0"/>
        </w:pBdr>
        <w:spacing w:before="72" w:after="40" w:line="240" w:lineRule="auto"/>
      </w:pPr>
      <w:r>
        <w:rPr>
          <w:b/>
          <w:color w:val="1F3A5F"/>
          <w:spacing w:val="16"/>
          <w:sz w:val="23"/>
          <w:szCs w:val="23"/>
        </w:rPr>
        <w:t xml:space="preserve">PROFESSIONAL SUMMARY</w:t>
      </w:r>
    </w:p>
    <w:p>
      <w:pPr>
        <w:spacing w:before="0" w:after="44" w:line="240" w:lineRule="auto"/>
      </w:pPr>
      <w:r>
        <w:rPr>
          <w:color w:val="222222"/>
          <w:sz w:val="20"/>
          <w:szCs w:val="20"/>
        </w:rPr>
        <w:t xml:space="preserve">Threat intelligence analyst with over two years tracking threat actors and running OSINT investigations across 150+ companies. Triaged 250+ phishing, BEC, and malware incidents with IOC pivoting and MITRE ATT&amp;CK mapping, traced 30+ domain-impersonation campaigns via certificate-transparency and dark-web monitoring, and built a public CTI platform running on 90+ open-source feeds.</w:t>
      </w:r>
    </w:p>
    <w:p>
      <w:pPr>
        <w:pBdr>
          <w:bottom w:val="single" w:sz="6" w:space="3" w:color="C9D4E0"/>
        </w:pBdr>
        <w:spacing w:before="72" w:after="40" w:line="240" w:lineRule="auto"/>
      </w:pPr>
      <w:r>
        <w:rPr>
          <w:b/>
          <w:color w:val="1F3A5F"/>
          <w:spacing w:val="16"/>
          <w:sz w:val="23"/>
          <w:szCs w:val="23"/>
        </w:rPr>
        <w:t xml:space="preserve">EXPERIENCE</w:t>
      </w:r>
    </w:p>
    <w:p>
      <w:pPr>
        <w:spacing w:before="30" w:after="18" w:line="240" w:lineRule="auto"/>
      </w:pPr>
      <w:r>
        <w:rPr>
          <w:b/>
          <w:color w:val="1F3A5F"/>
          <w:sz w:val="21"/>
          <w:szCs w:val="21"/>
        </w:rPr>
        <w:t xml:space="preserve">Threat Intelligence &amp; Security Analyst | Qubit Capital</w:t>
      </w:r>
    </w:p>
    <w:p>
      <w:pPr>
        <w:tabs>
          <w:tab w:val="right" w:pos="10800"/>
        </w:tabs>
        <w:spacing w:before="0" w:after="44" w:line="240" w:lineRule="auto"/>
      </w:pPr>
      <w:r>
        <w:rPr>
          <w:i/>
          <w:color w:val="5A6675"/>
          <w:sz w:val="18"/>
          <w:szCs w:val="18"/>
        </w:rPr>
        <w:t xml:space="preserve">Remote</w:t>
      </w:r>
      <w:r>
        <w:tab/>
      </w:r>
      <w:r>
        <w:rPr>
          <w:i/>
          <w:color w:val="5A6675"/>
          <w:sz w:val="18"/>
          <w:szCs w:val="18"/>
        </w:rPr>
        <w:t xml:space="preserve">Jul 2024 - Present</w:t>
      </w:r>
    </w:p>
    <w:p>
      <w:pPr>
        <w:spacing w:before="0" w:after="34" w:line="240" w:lineRule="auto"/>
        <w:ind w:left="216" w:hanging="216"/>
      </w:pPr>
      <w:r>
        <w:rPr>
          <w:b/>
          <w:color w:val="2C5F8A"/>
          <w:sz w:val="18"/>
          <w:szCs w:val="18"/>
        </w:rPr>
        <w:t xml:space="preserve">▪</w:t>
      </w:r>
      <w:r>
        <w:rPr>
          <w:sz w:val="20"/>
          <w:szCs w:val="20"/>
        </w:rPr>
        <w:t xml:space="preserve">   </w:t>
      </w:r>
      <w:r>
        <w:rPr>
          <w:color w:val="222222"/>
          <w:sz w:val="20"/>
          <w:szCs w:val="20"/>
        </w:rPr>
        <w:t xml:space="preserve">Triaged 250+ phishing, BEC, and malware incidents across 150+ portfolio companies, pivoting on indicators of compromise (sender IPs, domains, hashes) and mapping techniques to MITRE ATT&amp;CK.</w:t>
      </w:r>
    </w:p>
    <w:p>
      <w:pPr>
        <w:spacing w:before="0" w:after="34" w:line="240" w:lineRule="auto"/>
        <w:ind w:left="216" w:hanging="216"/>
      </w:pPr>
      <w:r>
        <w:rPr>
          <w:b/>
          <w:color w:val="2C5F8A"/>
          <w:sz w:val="18"/>
          <w:szCs w:val="18"/>
        </w:rPr>
        <w:t xml:space="preserve">▪</w:t>
      </w:r>
      <w:r>
        <w:rPr>
          <w:sz w:val="20"/>
          <w:szCs w:val="20"/>
        </w:rPr>
        <w:t xml:space="preserve">   </w:t>
      </w:r>
      <w:r>
        <w:rPr>
          <w:color w:val="222222"/>
          <w:sz w:val="20"/>
          <w:szCs w:val="20"/>
        </w:rPr>
        <w:t xml:space="preserve">Took down 30+ lookalike-domain and brand-impersonation campaigns via certificate-transparency monitoring and infrastructure pivoting, cutting the phishing attack surface by about 40%.</w:t>
      </w:r>
    </w:p>
    <w:p>
      <w:pPr>
        <w:spacing w:before="0" w:after="34" w:line="240" w:lineRule="auto"/>
        <w:ind w:left="216" w:hanging="216"/>
      </w:pPr>
      <w:r>
        <w:rPr>
          <w:b/>
          <w:color w:val="2C5F8A"/>
          <w:sz w:val="18"/>
          <w:szCs w:val="18"/>
        </w:rPr>
        <w:t xml:space="preserve">▪</w:t>
      </w:r>
      <w:r>
        <w:rPr>
          <w:sz w:val="20"/>
          <w:szCs w:val="20"/>
        </w:rPr>
        <w:t xml:space="preserve">   </w:t>
      </w:r>
      <w:r>
        <w:rPr>
          <w:color w:val="222222"/>
          <w:sz w:val="20"/>
          <w:szCs w:val="20"/>
        </w:rPr>
        <w:t xml:space="preserve">Built and run a threat-intelligence platform that tracks day-to-day activity from active ransomware groups (LockBit, ALPHV/BlackCat, Play, Akira), CVE/KEV exposure, and new campaigns, feeding weekly briefings that guide portfolio remediation.</w:t>
      </w:r>
    </w:p>
    <w:p>
      <w:pPr>
        <w:spacing w:before="0" w:after="34" w:line="240" w:lineRule="auto"/>
        <w:ind w:left="216" w:hanging="216"/>
      </w:pPr>
      <w:r>
        <w:rPr>
          <w:b/>
          <w:color w:val="2C5F8A"/>
          <w:sz w:val="18"/>
          <w:szCs w:val="18"/>
        </w:rPr>
        <w:t xml:space="preserve">▪</w:t>
      </w:r>
      <w:r>
        <w:rPr>
          <w:sz w:val="20"/>
          <w:szCs w:val="20"/>
        </w:rPr>
        <w:t xml:space="preserve">   </w:t>
      </w:r>
      <w:r>
        <w:rPr>
          <w:color w:val="222222"/>
          <w:sz w:val="20"/>
          <w:szCs w:val="20"/>
        </w:rPr>
        <w:t xml:space="preserve">Cut mean response time from 4 hours to under 75 minutes with automated phishing-triage and enrichment pipelines built in n8n.</w:t>
      </w:r>
    </w:p>
    <w:p>
      <w:pPr>
        <w:spacing w:before="0" w:after="34" w:line="240" w:lineRule="auto"/>
        <w:ind w:left="216" w:hanging="216"/>
      </w:pPr>
      <w:r>
        <w:rPr>
          <w:b/>
          <w:color w:val="2C5F8A"/>
          <w:sz w:val="18"/>
          <w:szCs w:val="18"/>
        </w:rPr>
        <w:t xml:space="preserve">▪</w:t>
      </w:r>
      <w:r>
        <w:rPr>
          <w:sz w:val="20"/>
          <w:szCs w:val="20"/>
        </w:rPr>
        <w:t xml:space="preserve">   </w:t>
      </w:r>
      <w:r>
        <w:rPr>
          <w:color w:val="222222"/>
          <w:sz w:val="20"/>
          <w:szCs w:val="20"/>
        </w:rPr>
        <w:t xml:space="preserve">Refined detection rules to cut false positives 25% and per-incident analysis time 35%, and brought SPF/DKIM/DMARC alignment to 98%+ across 1,300+ domains, reducing spoofing-based phishing by roughly 60%.</w:t>
      </w:r>
    </w:p>
    <w:p>
      <w:pPr>
        <w:spacing w:before="30" w:after="18" w:line="240" w:lineRule="auto"/>
      </w:pPr>
      <w:r>
        <w:rPr>
          <w:b/>
          <w:color w:val="1F3A5F"/>
          <w:sz w:val="21"/>
          <w:szCs w:val="21"/>
        </w:rPr>
        <w:t xml:space="preserve">Infrastructure &amp; Email Security Analyst | UnifyCX</w:t>
      </w:r>
    </w:p>
    <w:p>
      <w:pPr>
        <w:tabs>
          <w:tab w:val="right" w:pos="10800"/>
        </w:tabs>
        <w:spacing w:before="0" w:after="44" w:line="240" w:lineRule="auto"/>
      </w:pPr>
      <w:r>
        <w:rPr>
          <w:i/>
          <w:color w:val="5A6675"/>
          <w:sz w:val="18"/>
          <w:szCs w:val="18"/>
        </w:rPr>
        <w:t xml:space="preserve">Mysore, India</w:t>
      </w:r>
      <w:r>
        <w:tab/>
      </w:r>
      <w:r>
        <w:rPr>
          <w:i/>
          <w:color w:val="5A6675"/>
          <w:sz w:val="18"/>
          <w:szCs w:val="18"/>
        </w:rPr>
        <w:t xml:space="preserve">Sep 2023 - Jul 2024</w:t>
      </w:r>
    </w:p>
    <w:p>
      <w:pPr>
        <w:spacing w:before="0" w:after="34" w:line="240" w:lineRule="auto"/>
        <w:ind w:left="216" w:hanging="216"/>
      </w:pPr>
      <w:r>
        <w:rPr>
          <w:b/>
          <w:color w:val="2C5F8A"/>
          <w:sz w:val="18"/>
          <w:szCs w:val="18"/>
        </w:rPr>
        <w:t xml:space="preserve">▪</w:t>
      </w:r>
      <w:r>
        <w:rPr>
          <w:sz w:val="20"/>
          <w:szCs w:val="20"/>
        </w:rPr>
        <w:t xml:space="preserve">   </w:t>
      </w:r>
      <w:r>
        <w:rPr>
          <w:color w:val="222222"/>
          <w:sz w:val="20"/>
          <w:szCs w:val="20"/>
        </w:rPr>
        <w:t xml:space="preserve">Investigated and cleaned up 60+ compromised web assets (malware removal, WAF tuning, XSS fixes) with a 98% first-pass closure, and fixed SPF/DKIM/DMARC and IP-blacklist issues for 200+ enterprise domains, lifting inbox placement from 60% to 95%.</w:t>
      </w:r>
    </w:p>
    <w:p>
      <w:pPr>
        <w:pBdr>
          <w:bottom w:val="single" w:sz="6" w:space="3" w:color="C9D4E0"/>
        </w:pBdr>
        <w:spacing w:before="72" w:after="40" w:line="240" w:lineRule="auto"/>
      </w:pPr>
      <w:r>
        <w:rPr>
          <w:b/>
          <w:color w:val="1F3A5F"/>
          <w:spacing w:val="16"/>
          <w:sz w:val="23"/>
          <w:szCs w:val="23"/>
        </w:rPr>
        <w:t xml:space="preserve">KEY PROJECTS</w:t>
      </w:r>
    </w:p>
    <w:p>
      <w:pPr>
        <w:spacing w:before="0" w:after="34" w:line="240" w:lineRule="auto"/>
        <w:ind w:left="216" w:hanging="216"/>
      </w:pPr>
      <w:r>
        <w:rPr>
          <w:b/>
          <w:color w:val="2C5F8A"/>
          <w:sz w:val="18"/>
          <w:szCs w:val="18"/>
        </w:rPr>
        <w:t xml:space="preserve">▪</w:t>
      </w:r>
      <w:r>
        <w:rPr>
          <w:sz w:val="20"/>
          <w:szCs w:val="20"/>
        </w:rPr>
        <w:t xml:space="preserve">   </w:t>
      </w:r>
      <w:r>
        <w:rPr>
          <w:b/>
          <w:color w:val="2C5F8A"/>
          <w:sz w:val="20"/>
          <w:szCs w:val="20"/>
        </w:rPr>
        <w:t xml:space="preserve">Threat Intelligence Platform</w:t>
      </w:r>
      <w:r>
        <w:rPr>
          <w:color w:val="222222"/>
          <w:sz w:val="20"/>
          <w:szCs w:val="20"/>
        </w:rPr>
        <w:t xml:space="preserve"> (pranithjain.qzz.io/threatintel): Live CTI platform, 20+ surfaces correlating indicators from 90+ open-source feeds: ransomware tracking, CVE/KEV intelligence, threat-actor profiles, social-media aggregation, and auto-generated briefings. Exports STIX 2.1, runs on Cloudflare, no API keys.</w:t>
      </w:r>
    </w:p>
    <w:p>
      <w:pPr>
        <w:spacing w:before="0" w:after="34" w:line="240" w:lineRule="auto"/>
        <w:ind w:left="216" w:hanging="216"/>
      </w:pPr>
      <w:r>
        <w:rPr>
          <w:b/>
          <w:color w:val="2C5F8A"/>
          <w:sz w:val="18"/>
          <w:szCs w:val="18"/>
        </w:rPr>
        <w:t xml:space="preserve">▪</w:t>
      </w:r>
      <w:r>
        <w:rPr>
          <w:sz w:val="20"/>
          <w:szCs w:val="20"/>
        </w:rPr>
        <w:t xml:space="preserve">   </w:t>
      </w:r>
      <w:r>
        <w:rPr>
          <w:b/>
          <w:color w:val="2C5F8A"/>
          <w:sz w:val="20"/>
          <w:szCs w:val="20"/>
        </w:rPr>
        <w:t xml:space="preserve">DFIR Toolkit</w:t>
      </w:r>
      <w:r>
        <w:rPr>
          <w:color w:val="222222"/>
          <w:sz w:val="20"/>
          <w:szCs w:val="20"/>
        </w:rPr>
        <w:t xml:space="preserve"> (pranithjain.qzz.io/dfir · github.com/Pranith-Jain): 65+ interactive security tools on Cloudflare Workers: streaming IOC checker (24 providers), malware scanner, phishing analyzer, reputation checks against 19 DNSBLs, CVE lookup with EPSS/KEV, and a STIX 2.1 visualizer. Includes an MCP server with 23 analytics tools across 2,700+ inboxes.</w:t>
      </w:r>
    </w:p>
    <w:p>
      <w:pPr>
        <w:pBdr>
          <w:bottom w:val="single" w:sz="6" w:space="3" w:color="C9D4E0"/>
        </w:pBdr>
        <w:spacing w:before="72" w:after="40" w:line="240" w:lineRule="auto"/>
      </w:pPr>
      <w:r>
        <w:rPr>
          <w:b/>
          <w:color w:val="1F3A5F"/>
          <w:spacing w:val="16"/>
          <w:sz w:val="23"/>
          <w:szCs w:val="23"/>
        </w:rPr>
        <w:t xml:space="preserve">TECHNICAL SKILLS</w:t>
      </w:r>
    </w:p>
    <w:p>
      <w:pPr>
        <w:spacing w:before="0" w:after="34" w:line="240" w:lineRule="auto"/>
        <w:ind w:left="216" w:hanging="216"/>
      </w:pPr>
      <w:r>
        <w:rPr>
          <w:b/>
          <w:color w:val="2C5F8A"/>
          <w:sz w:val="18"/>
          <w:szCs w:val="18"/>
        </w:rPr>
        <w:t xml:space="preserve">▪</w:t>
      </w:r>
      <w:r>
        <w:rPr>
          <w:sz w:val="20"/>
          <w:szCs w:val="20"/>
        </w:rPr>
        <w:t xml:space="preserve">   </w:t>
      </w:r>
      <w:r>
        <w:rPr>
          <w:b/>
          <w:color w:val="2C5F8A"/>
          <w:sz w:val="20"/>
          <w:szCs w:val="20"/>
        </w:rPr>
        <w:t xml:space="preserve">Threat Intelligence:</w:t>
      </w:r>
      <w:r>
        <w:rPr>
          <w:color w:val="222222"/>
          <w:sz w:val="20"/>
          <w:szCs w:val="20"/>
        </w:rPr>
        <w:t xml:space="preserve"> Cyber threat intelligence (CTI), OSINT, IOC enrichment &amp; correlation, threat-actor tracking, MITRE ATT&amp;CK, threat hunting, dark-web monitoring, CVE/KEV prioritization, STIX 2.1 / TAXII</w:t>
      </w:r>
    </w:p>
    <w:p>
      <w:pPr>
        <w:spacing w:before="0" w:after="34" w:line="240" w:lineRule="auto"/>
        <w:ind w:left="216" w:hanging="216"/>
      </w:pPr>
      <w:r>
        <w:rPr>
          <w:b/>
          <w:color w:val="2C5F8A"/>
          <w:sz w:val="18"/>
          <w:szCs w:val="18"/>
        </w:rPr>
        <w:t xml:space="preserve">▪</w:t>
      </w:r>
      <w:r>
        <w:rPr>
          <w:sz w:val="20"/>
          <w:szCs w:val="20"/>
        </w:rPr>
        <w:t xml:space="preserve">   </w:t>
      </w:r>
      <w:r>
        <w:rPr>
          <w:b/>
          <w:color w:val="2C5F8A"/>
          <w:sz w:val="20"/>
          <w:szCs w:val="20"/>
        </w:rPr>
        <w:t xml:space="preserve">Tools &amp; Platforms:</w:t>
      </w:r>
      <w:r>
        <w:rPr>
          <w:color w:val="222222"/>
          <w:sz w:val="20"/>
          <w:szCs w:val="20"/>
        </w:rPr>
        <w:t xml:space="preserve"> VirusTotal, Shodan, Censys, GreyNoise, urlscan.io, AlienVault OTX, MISP, OpenCTI, ThreatFox, MalwareBazaar, AbuseIPDB, Have I Been Pwned, Sigma, YARA</w:t>
      </w:r>
    </w:p>
    <w:p>
      <w:pPr>
        <w:spacing w:before="0" w:after="34" w:line="240" w:lineRule="auto"/>
        <w:ind w:left="216" w:hanging="216"/>
      </w:pPr>
      <w:r>
        <w:rPr>
          <w:b/>
          <w:color w:val="2C5F8A"/>
          <w:sz w:val="18"/>
          <w:szCs w:val="18"/>
        </w:rPr>
        <w:t xml:space="preserve">▪</w:t>
      </w:r>
      <w:r>
        <w:rPr>
          <w:sz w:val="20"/>
          <w:szCs w:val="20"/>
        </w:rPr>
        <w:t xml:space="preserve">   </w:t>
      </w:r>
      <w:r>
        <w:rPr>
          <w:b/>
          <w:color w:val="2C5F8A"/>
          <w:sz w:val="20"/>
          <w:szCs w:val="20"/>
        </w:rPr>
        <w:t xml:space="preserve">Incident Response &amp; Forensics:</w:t>
      </w:r>
      <w:r>
        <w:rPr>
          <w:color w:val="222222"/>
          <w:sz w:val="20"/>
          <w:szCs w:val="20"/>
        </w:rPr>
        <w:t xml:space="preserve"> Phishing &amp; BEC analysis, email header analysis, sandbox detonation, malware triage, indicator pivoting, email forensics</w:t>
      </w:r>
    </w:p>
    <w:p>
      <w:pPr>
        <w:spacing w:before="0" w:after="34" w:line="240" w:lineRule="auto"/>
        <w:ind w:left="216" w:hanging="216"/>
      </w:pPr>
      <w:r>
        <w:rPr>
          <w:b/>
          <w:color w:val="2C5F8A"/>
          <w:sz w:val="18"/>
          <w:szCs w:val="18"/>
        </w:rPr>
        <w:t xml:space="preserve">▪</w:t>
      </w:r>
      <w:r>
        <w:rPr>
          <w:sz w:val="20"/>
          <w:szCs w:val="20"/>
        </w:rPr>
        <w:t xml:space="preserve">   </w:t>
      </w:r>
      <w:r>
        <w:rPr>
          <w:b/>
          <w:color w:val="2C5F8A"/>
          <w:sz w:val="20"/>
          <w:szCs w:val="20"/>
        </w:rPr>
        <w:t xml:space="preserve">Email Security:</w:t>
      </w:r>
      <w:r>
        <w:rPr>
          <w:color w:val="222222"/>
          <w:sz w:val="20"/>
          <w:szCs w:val="20"/>
        </w:rPr>
        <w:t xml:space="preserve"> SPF, DKIM, DMARC, BIMI, MTA-STS, TLS-RPT, Proofpoint, Google Workspace</w:t>
      </w:r>
    </w:p>
    <w:p>
      <w:pPr>
        <w:spacing w:before="0" w:after="34" w:line="240" w:lineRule="auto"/>
        <w:ind w:left="216" w:hanging="216"/>
      </w:pPr>
      <w:r>
        <w:rPr>
          <w:b/>
          <w:color w:val="2C5F8A"/>
          <w:sz w:val="18"/>
          <w:szCs w:val="18"/>
        </w:rPr>
        <w:t xml:space="preserve">▪</w:t>
      </w:r>
      <w:r>
        <w:rPr>
          <w:sz w:val="20"/>
          <w:szCs w:val="20"/>
        </w:rPr>
        <w:t xml:space="preserve">   </w:t>
      </w:r>
      <w:r>
        <w:rPr>
          <w:b/>
          <w:color w:val="2C5F8A"/>
          <w:sz w:val="20"/>
          <w:szCs w:val="20"/>
        </w:rPr>
        <w:t xml:space="preserve">Security Engineering &amp; Automation:</w:t>
      </w:r>
      <w:r>
        <w:rPr>
          <w:color w:val="222222"/>
          <w:sz w:val="20"/>
          <w:szCs w:val="20"/>
        </w:rPr>
        <w:t xml:space="preserve"> n8n, MCP, Python, TypeScript, Cloudflare Workers, Hono, React, detection engineering, SOC automation</w:t>
      </w:r>
    </w:p>
    <w:p>
      <w:pPr>
        <w:spacing w:before="0" w:after="34" w:line="240" w:lineRule="auto"/>
        <w:ind w:left="216" w:hanging="216"/>
      </w:pPr>
      <w:r>
        <w:rPr>
          <w:b/>
          <w:color w:val="2C5F8A"/>
          <w:sz w:val="18"/>
          <w:szCs w:val="18"/>
        </w:rPr>
        <w:t xml:space="preserve">▪</w:t>
      </w:r>
      <w:r>
        <w:rPr>
          <w:sz w:val="20"/>
          <w:szCs w:val="20"/>
        </w:rPr>
        <w:t xml:space="preserve">   </w:t>
      </w:r>
      <w:r>
        <w:rPr>
          <w:b/>
          <w:color w:val="2C5F8A"/>
          <w:sz w:val="20"/>
          <w:szCs w:val="20"/>
        </w:rPr>
        <w:t xml:space="preserve">Identity &amp; Cloud Security:</w:t>
      </w:r>
      <w:r>
        <w:rPr>
          <w:color w:val="222222"/>
          <w:sz w:val="20"/>
          <w:szCs w:val="20"/>
        </w:rPr>
        <w:t xml:space="preserve"> Non-Human Identity (NHI) governance, machine-identity &amp; secrets lifecycle, IAM, Zero Trust, access reviews, SSO/MFA, GCP, AWS, Azure</w:t>
      </w:r>
    </w:p>
    <w:p>
      <w:pPr>
        <w:pBdr>
          <w:bottom w:val="single" w:sz="6" w:space="3" w:color="C9D4E0"/>
        </w:pBdr>
        <w:spacing w:before="72" w:after="40" w:line="240" w:lineRule="auto"/>
      </w:pPr>
      <w:r>
        <w:rPr>
          <w:b/>
          <w:color w:val="1F3A5F"/>
          <w:spacing w:val="16"/>
          <w:sz w:val="23"/>
          <w:szCs w:val="23"/>
        </w:rPr>
        <w:t xml:space="preserve">CERTIFICATIONS</w:t>
      </w:r>
    </w:p>
    <w:p>
      <w:pPr>
        <w:spacing w:before="0" w:after="34" w:line="240" w:lineRule="auto"/>
        <w:ind w:left="216" w:hanging="216"/>
      </w:pPr>
      <w:r>
        <w:rPr>
          <w:b/>
          <w:color w:val="2C5F8A"/>
          <w:sz w:val="18"/>
          <w:szCs w:val="18"/>
        </w:rPr>
        <w:t xml:space="preserve">▪</w:t>
      </w:r>
      <w:r>
        <w:rPr>
          <w:sz w:val="20"/>
          <w:szCs w:val="20"/>
        </w:rPr>
        <w:t xml:space="preserve">   </w:t>
      </w:r>
      <w:r>
        <w:rPr>
          <w:color w:val="222222"/>
          <w:sz w:val="20"/>
          <w:szCs w:val="20"/>
        </w:rPr>
        <w:t xml:space="preserve">Cyber Threat Intelligence 101, arcX (2025) · SOCMINT, CyberSudo (2026) · Multi-Cloud Blue Team Analyst (MCBTA), CyberWarFare Labs (2025) · Google Cloud Cybersecurity, Google (2025)</w:t>
      </w:r>
    </w:p>
    <w:p>
      <w:pPr>
        <w:spacing w:before="0" w:after="34" w:line="240" w:lineRule="auto"/>
        <w:ind w:left="216" w:hanging="216"/>
      </w:pPr>
      <w:r>
        <w:rPr>
          <w:b/>
          <w:color w:val="2C5F8A"/>
          <w:sz w:val="18"/>
          <w:szCs w:val="18"/>
        </w:rPr>
        <w:t xml:space="preserve">▪</w:t>
      </w:r>
      <w:r>
        <w:rPr>
          <w:sz w:val="20"/>
          <w:szCs w:val="20"/>
        </w:rPr>
        <w:t xml:space="preserve">   </w:t>
      </w:r>
      <w:r>
        <w:rPr>
          <w:color w:val="222222"/>
          <w:sz w:val="20"/>
          <w:szCs w:val="20"/>
        </w:rPr>
        <w:t xml:space="preserve">Certified Cyber Criminologist (2025) &amp; AI Security Expert (2026), Virtual Cyber Labs · Proofpoint AI Agent (2026) &amp; AI Email Security (2025) · DSPM Fundamentals, Securiti AI (2025) · DLP Survival Guide, Antisyphon Training (2026)</w:t>
      </w:r>
    </w:p>
    <w:p>
      <w:pPr>
        <w:pBdr>
          <w:bottom w:val="single" w:sz="6" w:space="3" w:color="C9D4E0"/>
        </w:pBdr>
        <w:spacing w:before="72" w:after="40" w:line="240" w:lineRule="auto"/>
      </w:pPr>
      <w:r>
        <w:rPr>
          <w:b/>
          <w:color w:val="1F3A5F"/>
          <w:spacing w:val="16"/>
          <w:sz w:val="23"/>
          <w:szCs w:val="23"/>
        </w:rPr>
        <w:t xml:space="preserve">EDUCATION</w:t>
      </w:r>
    </w:p>
    <w:p>
      <w:pPr>
        <w:spacing w:before="30" w:after="18" w:line="240" w:lineRule="auto"/>
      </w:pPr>
      <w:r>
        <w:rPr>
          <w:b/>
          <w:color w:val="1F3A5F"/>
          <w:sz w:val="21"/>
          <w:szCs w:val="21"/>
        </w:rPr>
        <w:t xml:space="preserve">Bachelor of Engineering, Computer Science</w:t>
      </w:r>
      <w:r>
        <w:rPr>
          <w:color w:val="222222"/>
          <w:sz w:val="21"/>
          <w:szCs w:val="21"/>
        </w:rPr>
        <w:t xml:space="preserve"> | Visvesvaraya Technological University (VTU) | 2019 - Jul 2023</w:t>
      </w:r>
    </w:p>
    <w:sectPr>
      <w:pgSz w:w="12240" w:h="15840"/>
      <w:pgMar w:top="540" w:right="720" w:bottom="500" w:left="720" w:header="480" w:footer="480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 w:cs="Calibri"/>
        <w:sz w:val="20"/>
        <w:szCs w:val="20"/>
      </w:rPr>
    </w:rPrDefault>
  </w:docDefaults>
  <w:style w:type="paragraph" w:default="1" w:styleId="Normal">
    <w:name w:val="Normal"/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/Relationships>
</file>

<file path=docProps/app.xml><?xml version="1.0" encoding="utf-8"?>
<Properties xmlns="http://schemas.openxmlformats.org/officeDocument/2006/extended-properties">
  <Application>resume-builder</Application>
</Properties>
</file>

<file path=docProps/core.xml><?xml version="1.0" encoding="utf-8"?>
<cp:coreProperties xmlns:cp="http://schemas.openxmlformats.org/package/2006/metadata/core-properties" xmlns:dc="http://purl.org/dc/elements/1.1/">
  <dc:title>Pranith Jain — Resume</dc:title>
  <dc:creator>Pranith Jain</dc:creator>
</cp:coreProperties>
</file>