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30" w:line="240" w:lineRule="auto"/>
      </w:pPr>
      <w:r>
        <w:rPr>
          <w:b/>
          <w:color w:val="1F3A5F"/>
          <w:spacing w:val="30"/>
          <w:sz w:val="46"/>
          <w:szCs w:val="46"/>
        </w:rPr>
        <w:t xml:space="preserve">PRANITH JAIN</w:t>
      </w:r>
    </w:p>
    <w:p>
      <w:pPr>
        <w:jc w:val="center"/>
        <w:spacing w:before="0" w:after="40" w:line="240" w:lineRule="auto"/>
      </w:pPr>
      <w:r>
        <w:rPr>
          <w:b/>
          <w:color w:val="2C5F8A"/>
          <w:spacing w:val="14"/>
          <w:sz w:val="21"/>
          <w:szCs w:val="21"/>
        </w:rPr>
        <w:t xml:space="preserve">Threat Intelligence Analyst | OSINT Investigations | Threat Hunting</w:t>
      </w:r>
    </w:p>
    <w:p>
      <w:pPr>
        <w:pBdr>
          <w:bottom w:val="single" w:sz="6" w:space="3" w:color="C9D4E0"/>
        </w:pBdr>
        <w:jc w:val="center"/>
        <w:spacing w:before="0" w:after="60" w:line="240" w:lineRule="auto"/>
      </w:pPr>
      <w:r>
        <w:rPr>
          <w:color w:val="5A6675"/>
          <w:sz w:val="17"/>
          <w:szCs w:val="17"/>
        </w:rPr>
        <w:t xml:space="preserve">hello@pranithjain.qzz.io | +91 8310386578 | linkedin.com/in/pranithjain | github.com/Pranith-Jain | pranithjain.qzz.io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PROFESSIONAL SUMMARY</w:t>
      </w:r>
    </w:p>
    <w:p>
      <w:pPr>
        <w:spacing w:before="0" w:after="44" w:line="240" w:lineRule="auto"/>
      </w:pPr>
      <w:r>
        <w:rPr>
          <w:color w:val="222222"/>
          <w:sz w:val="20"/>
          <w:szCs w:val="20"/>
        </w:rPr>
        <w:t xml:space="preserve">Threat intelligence analyst with over two years tracking threat actors and running OSINT investigations across 150+ companies. Triaged 250+ phishing, BEC, and malware incidents with IOC pivoting and MITRE ATT&amp;CK mapping, traced 30+ domain-impersonation campaigns via certificate-transparency and dark-web monitoring, and built a public CTI platform running on 90+ open-source feeds.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EXPERIENCE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Security Analyst | Qubit Capital (Sujata Outsourcing)</w:t>
      </w:r>
    </w:p>
    <w:p>
      <w:pPr>
        <w:tabs>
          <w:tab w:val="right" w:pos="10800"/>
        </w:tabs>
        <w:spacing w:before="0" w:after="44" w:line="240" w:lineRule="auto"/>
      </w:pPr>
      <w:r>
        <w:rPr>
          <w:i/>
          <w:color w:val="5A6675"/>
          <w:sz w:val="18"/>
          <w:szCs w:val="18"/>
        </w:rPr>
        <w:t xml:space="preserve">Remote</w:t>
      </w:r>
      <w:r>
        <w:tab/>
      </w:r>
      <w:r>
        <w:rPr>
          <w:i/>
          <w:color w:val="5A6675"/>
          <w:sz w:val="18"/>
          <w:szCs w:val="18"/>
        </w:rPr>
        <w:t xml:space="preserve">Jul 2024 - Present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Triaged 250+ phishing, BEC, and malware incidents across 150+ portfolio companies, pivoting on indicators of compromise (sender IPs, domains, hashes) and mapping techniques to MITRE ATT&amp;CK.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Took down 30+ lookalike-domain and brand-impersonation campaigns via certificate-transparency monitoring and infrastructure pivoting, cutting the phishing attack surface by about 40%.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Built and run a threat-intelligence platform that tracks day-to-day activity from active ransomware groups (LockBit, ALPHV/BlackCat, Play, Akira), CVE/KEV exposure, and new campaigns, feeding weekly briefings that guide portfolio remediation.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Cut mean response time from 4 hours to under 75 minutes with automated phishing-triage and enrichment pipelines built in n8n.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Refined detection rules to cut false positives 25% and per-incident analysis time 35%, and brought SPF/DKIM/DMARC alignment to 98%+ across 1,300+ domains, reducing spoofing-based phishing by roughly 60%.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Tech Associate | UnifyCX (GlowTouch Technologies PVT Ltd)</w:t>
      </w:r>
    </w:p>
    <w:p>
      <w:pPr>
        <w:tabs>
          <w:tab w:val="right" w:pos="10800"/>
        </w:tabs>
        <w:spacing w:before="0" w:after="44" w:line="240" w:lineRule="auto"/>
      </w:pPr>
      <w:r>
        <w:rPr>
          <w:i/>
          <w:color w:val="5A6675"/>
          <w:sz w:val="18"/>
          <w:szCs w:val="18"/>
        </w:rPr>
        <w:t xml:space="preserve">Mysore, India</w:t>
      </w:r>
      <w:r>
        <w:tab/>
      </w:r>
      <w:r>
        <w:rPr>
          <w:i/>
          <w:color w:val="5A6675"/>
          <w:sz w:val="18"/>
          <w:szCs w:val="18"/>
        </w:rPr>
        <w:t xml:space="preserve">Sep 2023 - Jul 2024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Investigated and cleaned up 60+ compromised web assets (malware removal, WAF tuning, XSS fixes) with a 98% first-pass closure, and fixed SPF/DKIM/DMARC and IP-blacklist issues for 200+ enterprise domains, lifting inbox placement from 60% to 95%.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KEY PROJECTS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 Platform</w:t>
      </w:r>
      <w:r>
        <w:rPr>
          <w:color w:val="222222"/>
          <w:sz w:val="20"/>
          <w:szCs w:val="20"/>
        </w:rPr>
        <w:t xml:space="preserve"> (pranithjain.qzz.io/threatintel): Live CTI platform, 20+ surfaces correlating indicators from 90+ open-source feeds: ransomware tracking, CVE/KEV intelligence, threat-actor profiles, social-media aggregation, and auto-generated briefings. Exports STIX 2.1, runs on Cloudflare, no API keys.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DFIR Toolkit</w:t>
      </w:r>
      <w:r>
        <w:rPr>
          <w:color w:val="222222"/>
          <w:sz w:val="20"/>
          <w:szCs w:val="20"/>
        </w:rPr>
        <w:t xml:space="preserve"> (pranithjain.qzz.io/dfir · github.com/Pranith-Jain): 65+ interactive security tools on Cloudflare Workers: streaming IOC checker (24 providers), malware scanner, phishing analyzer, reputation checks against 19 DNSBLs, CVE lookup with EPSS/KEV, and a STIX 2.1 visualizer. Includes an MCP server with 23 analytics tools across 2,700+ inboxes.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TECHNICAL SKILLS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Intelligence:</w:t>
      </w:r>
      <w:r>
        <w:rPr>
          <w:color w:val="222222"/>
          <w:sz w:val="20"/>
          <w:szCs w:val="20"/>
        </w:rPr>
        <w:t xml:space="preserve"> Cyber threat intelligence (CTI), OSINT, IOC enrichment &amp; correlation, threat-actor tracking, MITRE ATT&amp;CK, threat hunting, dark-web monitoring, CVE/KEV prioritization, STIX 2.1 / TAXII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Tools &amp; Platforms:</w:t>
      </w:r>
      <w:r>
        <w:rPr>
          <w:color w:val="222222"/>
          <w:sz w:val="20"/>
          <w:szCs w:val="20"/>
        </w:rPr>
        <w:t xml:space="preserve"> VirusTotal, Shodan, Censys, GreyNoise, urlscan.io, AlienVault OTX, MISP, OpenCTI, ThreatFox, MalwareBazaar, AbuseIPDB, Have I Been Pwned, Sigma, YARA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Incident Response &amp; Forensics:</w:t>
      </w:r>
      <w:r>
        <w:rPr>
          <w:color w:val="222222"/>
          <w:sz w:val="20"/>
          <w:szCs w:val="20"/>
        </w:rPr>
        <w:t xml:space="preserve"> Phishing &amp; BEC analysis, email header analysis, sandbox detonation, malware triage, indicator pivoting, email forensics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Email Security:</w:t>
      </w:r>
      <w:r>
        <w:rPr>
          <w:color w:val="222222"/>
          <w:sz w:val="20"/>
          <w:szCs w:val="20"/>
        </w:rPr>
        <w:t xml:space="preserve"> SPF, DKIM, DMARC, BIMI, MTA-STS, TLS-RPT, Proofpoint, Google Workspace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Security Engineering &amp; Automation:</w:t>
      </w:r>
      <w:r>
        <w:rPr>
          <w:color w:val="222222"/>
          <w:sz w:val="20"/>
          <w:szCs w:val="20"/>
        </w:rPr>
        <w:t xml:space="preserve"> n8n, MCP, Python, TypeScript, Cloudflare Workers, Hono, React, detection engineering, SOC automation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Identity &amp; Cloud Security:</w:t>
      </w:r>
      <w:r>
        <w:rPr>
          <w:color w:val="222222"/>
          <w:sz w:val="20"/>
          <w:szCs w:val="20"/>
        </w:rPr>
        <w:t xml:space="preserve"> Non-Human Identity (NHI) governance, machine-identity &amp; secrets lifecycle, IAM, Zero Trust, access reviews, SSO/MFA, GCP, AWS, Azure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CERTIFICATIONS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Cyber Threat Intelligence 101, arcX (2025) · SOCMINT, CyberSudo (2026) · Multi-Cloud Blue Team Analyst (MCBTA), CyberWarFare Labs (2025) · Google Cloud Cybersecurity, Google (2025)</w:t>
      </w:r>
    </w:p>
    <w:p>
      <w:pPr>
        <w:spacing w:before="0" w:after="34" w:line="240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Certified Cyber Criminologist (2025) &amp; AI Security Expert (2026), Virtual Cyber Labs · Proofpoint AI Agent (2026) &amp; AI Email Security (2025) · DSPM Fundamentals, Securiti AI (2025) · DLP Survival Guide, Antisyphon Training (2026)</w:t>
      </w:r>
    </w:p>
    <w:p>
      <w:pPr>
        <w:pBdr>
          <w:bottom w:val="single" w:sz="6" w:space="3" w:color="C9D4E0"/>
        </w:pBdr>
        <w:spacing w:before="72" w:after="40" w:line="240" w:lineRule="auto"/>
      </w:pPr>
      <w:r>
        <w:rPr>
          <w:b/>
          <w:color w:val="1F3A5F"/>
          <w:spacing w:val="16"/>
          <w:sz w:val="23"/>
          <w:szCs w:val="23"/>
        </w:rPr>
        <w:t xml:space="preserve">EDUCATION</w:t>
      </w:r>
    </w:p>
    <w:p>
      <w:pPr>
        <w:spacing w:before="30" w:after="18" w:line="240" w:lineRule="auto"/>
      </w:pPr>
      <w:r>
        <w:rPr>
          <w:b/>
          <w:color w:val="1F3A5F"/>
          <w:sz w:val="21"/>
          <w:szCs w:val="21"/>
        </w:rPr>
        <w:t xml:space="preserve">Bachelor of Engineering, Computer Science</w:t>
      </w:r>
      <w:r>
        <w:rPr>
          <w:color w:val="222222"/>
          <w:sz w:val="21"/>
          <w:szCs w:val="21"/>
        </w:rPr>
        <w:t xml:space="preserve"> | Visvesvaraya Technological University (VTU) | 2019 - Jul 2023</w:t>
      </w:r>
    </w:p>
    <w:sectPr>
      <w:pgSz w:w="12240" w:h="15840"/>
      <w:pgMar w:top="540" w:right="720" w:bottom="500" w:left="720" w:header="480" w:footer="48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resume-builder</Application>
</Properties>
</file>

<file path=docProps/core.xml><?xml version="1.0" encoding="utf-8"?>
<cp:coreProperties xmlns:cp="http://schemas.openxmlformats.org/package/2006/metadata/core-properties" xmlns:dc="http://purl.org/dc/elements/1.1/">
  <dc:title>Pranith Jain — Resume</dc:title>
  <dc:creator>Pranith Jain</dc:creator>
</cp:coreProperties>
</file>