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1a2e"/>
          <w:spacing w:val="80"/>
          <w:sz w:val="52"/>
          <w:szCs w:val="52"/>
        </w:rPr>
        <w:t xml:space="preserve">PRANITH JAIN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hello@pranithjain.qzz.io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+91 83103 86578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r>
        <w:rPr>
          <w:rFonts w:ascii="Arial" w:cs="Arial" w:eastAsia="Arial" w:hAnsi="Arial"/>
          <w:color w:val="1a3a5c"/>
          <w:sz w:val="18"/>
          <w:szCs w:val="18"/>
        </w:rPr>
        <w:t xml:space="preserve">linkedin.com/in/pranithjain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r>
        <w:rPr>
          <w:rFonts w:ascii="Arial" w:cs="Arial" w:eastAsia="Arial" w:hAnsi="Arial"/>
          <w:color w:val="1a3a5c"/>
          <w:sz w:val="18"/>
          <w:szCs w:val="18"/>
        </w:rPr>
        <w:t xml:space="preserve">pranithjain.qzz.io</w:t>
      </w:r>
    </w:p>
    <w:p>
      <w:pPr>
        <w:spacing w:after="0" w:before="100"/>
      </w:pPr>
    </w:p>
    <w:p>
      <w:pPr>
        <w:pBdr>
          <w:bottom w:val="single" w:color="2c5f8a" w:sz="8" w:space="1"/>
        </w:pBd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SUMMARY</w:t>
      </w:r>
    </w:p>
    <w:p>
      <w:pPr>
        <w:spacing w:after="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Security analyst with close to 2 years of hands-on experience in email threat response, DFIR, and SOC operations. Investigated 250+ phishing and BEC incidents at Qubit Capital, defending 1,300+ domains and 2,700+ inboxes across 150+ startups. Cuts through alert volume by building the automation that removes the manual work: n8n pipelines, MCP-based threat intelligence workflows, and a real-time infrastructure dashboard that replaced daily health checks. Currently focused on AI agent security and how LLM-based attack vectors are changing detection logic. M3AAWG member. Targeting roles in threat analysis, threat intelligence, and SOC operations.</w:t>
      </w:r>
    </w:p>
    <w:p>
      <w:pPr>
        <w:spacing w:after="0" w:before="60"/>
      </w:pPr>
    </w:p>
    <w:p>
      <w:pPr>
        <w:pBdr>
          <w:bottom w:val="single" w:color="2c5f8a" w:sz="8" w:space="1"/>
        </w:pBd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Security Analyst, Email Security &amp; Threat Intelligence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1a3a5c"/>
          <w:sz w:val="20"/>
          <w:szCs w:val="20"/>
        </w:rPr>
        <w:t xml:space="preserve">Qubit Capital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Remote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Jul 2024 -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Enforced SPF, DKIM, and DMARC across 1,300+ domains for 150+ startups, reaching 98%+ authentication alignment and cutting spoofing incidents by 60% in six months. Blocked impersonation attempts at the perimeter before they reached an inbox.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real-time infrastructure monitoring dashboard using Claude Code, giving the team live visibility across 1,300+ domains and 2,700+ inboxes and replacing a manual daily check process that consumed two hours each morning.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Investigated 250+ phishing, BEC, and malware incidents through email header forensics, sandbox-based payload analysis, and IOC identification across sender IPs, domains, and file hashes. Reduced false positives by 25%, cut per-incident analysis time by 35%, and held the threat remediation rate above 90%.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Automated phishing triage, IOC enrichment, and email blocking pipelines in n8n, cutting average incident response time from 4 hours to under 75 minutes and removing the manual steps from high-volume alert queues.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MCP-based threat intelligence pipelines that correlated CVEs, attacker TTPs, and OSINT indicators. Mapped campaign techniques to MITRE ATT&amp;CK to shift team posture from reactive ticket-closing to proactive threat profiling.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Tracked and took down 30+ lookalike domain and impersonation campaigns through domain abuse monitoring and OSINT-driven attacker tracing. Reduced the portfolio phishing surface by 40% and reported intelligence findings directly to leadership for risk decisions.</w:t>
      </w:r>
    </w:p>
    <w:p>
      <w:pPr>
        <w:spacing w:after="0" w:before="80"/>
      </w:pP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 Associate, Infrastructure &amp; Email Security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1a3a5c"/>
          <w:sz w:val="20"/>
          <w:szCs w:val="20"/>
        </w:rPr>
        <w:t xml:space="preserve">UnifyCX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Mysuru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Sep 2023 - Jul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Restored 95% inbox placement across 200+ enterprise domains by resolving IP blacklisting events and hardening SMTP authentication controls, reducing delivery failures by 40%.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Automated SSL/TLS certificate lifecycle management for 300+ domains, eliminating renewal-related outages and maintaining 99.9% uptime across the client environment.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Diagnosed and resolved 100+ DNS, email routing, and SSL/TLS issues weekly, building the infrastructure depth that now underpins the email security work at Qubit Capital.</w:t>
      </w:r>
    </w:p>
    <w:p>
      <w:pPr>
        <w:spacing w:after="0" w:before="80"/>
      </w:pPr>
    </w:p>
    <w:p>
      <w:pPr>
        <w:tabs>
          <w:tab w:val="right" w:pos="9360"/>
        </w:tabs>
        <w:spacing w:after="3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Associate Software Engineer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1a3a5c"/>
          <w:sz w:val="20"/>
          <w:szCs w:val="20"/>
        </w:rPr>
        <w:t xml:space="preserve">TekWorks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Vijayawada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Mar 2023 - Sep 2023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Tested and validated RESTful API endpoints for a hospital management system, identifying authentication gaps and API misuse patterns that directly shaped how I approach threat modeling and IOC analysis today.</w:t>
      </w:r>
    </w:p>
    <w:p>
      <w:pPr>
        <w:spacing w:after="0" w:before="60"/>
      </w:pPr>
    </w:p>
    <w:p>
      <w:pPr>
        <w:pBdr>
          <w:bottom w:val="single" w:color="2c5f8a" w:sz="8" w:space="1"/>
        </w:pBd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PROJECTS</w:t>
      </w:r>
    </w:p>
    <w:p>
      <w:pPr>
        <w:spacing w:after="3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DFIR Platform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TypeScript, FastAPI  |  Feb 2026 -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full-stack DFIR toolkit covering IOC reputation checking, phishing header analysis, domain exposure scanning, and threat intelligence feed aggregation. Live at pranithjain.qzz.io/dfir.</w:t>
      </w:r>
    </w:p>
    <w:p>
      <w:pPr>
        <w:spacing w:after="0" w:before="40"/>
      </w:pPr>
    </w:p>
    <w:p>
      <w:pPr>
        <w:spacing w:after="30" w:before="4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Email Infrastructure Automation Platform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n8n, MCP, Smartlead  |  Jan 2026 -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Automated end-to-end domain onboarding across 1,300+ domains, cutting per-domain setup time from several hours to under 10 minutes. Built a Smartlead MCP server with 23 custom analytics tools consolidating warmup monitoring, deliverability tracking, and campaign health across 2,700+ inboxes.</w:t>
      </w:r>
    </w:p>
    <w:p>
      <w:pPr>
        <w:spacing w:after="0" w:before="40"/>
      </w:pPr>
    </w:p>
    <w:p>
      <w:pPr>
        <w:spacing w:after="30" w:before="4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SOC Automation Playbooks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n8n, Python  | 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structured triage and response workflows for phishing, spoofing, authentication failures, and domain abuse. Built to be operational and repeatable, not just documented.</w:t>
      </w:r>
    </w:p>
    <w:p>
      <w:pPr>
        <w:spacing w:after="0" w:before="40"/>
      </w:pPr>
    </w:p>
    <w:p>
      <w:pPr>
        <w:spacing w:after="30" w:before="4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Security Research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Virtual Cyber Labs  | 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Performed blockchain tracing, dark web intelligence analysis, and malware behavioral investigation. Mapped attacker TTPs to MITRE ATT&amp;CK to strengthen detection logic. Used Maltego and forensic browser artifacts for OSINT investigations and digital footprinting.</w:t>
      </w:r>
    </w:p>
    <w:p>
      <w:pPr>
        <w:spacing w:after="0" w:before="40"/>
      </w:pPr>
    </w:p>
    <w:p>
      <w:pPr>
        <w:spacing w:after="30" w:before="4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SOC Analyst Internship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Tracelay Networks  |  Jul - Oct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Triaged 200+ daily security events across SIEM, EDR, and NDR platforms. Investigated and escalated 15+ high-severity incidents involving unauthorized access and data exfiltration patterns. Ran vulnerability assessments using Intruder and IBM X-Force.</w:t>
      </w:r>
    </w:p>
    <w:p>
      <w:pPr>
        <w:spacing w:after="0" w:before="60"/>
      </w:pPr>
    </w:p>
    <w:p>
      <w:pPr>
        <w:pBdr>
          <w:bottom w:val="single" w:color="2c5f8a" w:sz="8" w:space="1"/>
        </w:pBd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Threat Detection &amp; Response: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Phishing triage, BEC investigation, email header forensics, IOC identification, malware sandbox analysis, incident escalation, MITRE ATT&amp;CK mapping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SIEM &amp; Monitoring: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Sumo Logic, ELK Stack (Elasticsearch, Logstash, Kibana), log analysis, alert correlation, threat hunting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Email Security: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SPF, DKIM, DMARC, BIMI, phishing defense, spoofing prevention, domain abuse monitoring, blacklist remediation, email header analysis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DFIR &amp; OSINT: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Digital forensics, IOC enrichment, dark web monitoring, Maltego, blockchain tracing, OSINT investigations, attacker infrastructure analysis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Automation &amp; Tooling: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n8n, Python, FastAPI, REST APIs, MCP frameworks, Claude Code, Playwright, Webhooks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Endpoint &amp; Network: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EDR operations, WAF tuning, XSS remediation, SSL/TLS lifecycle management, vulnerability assessment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AI Security: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OWASP Top 10 for LLMs, MITRE ATLAS, prompt injection defense, agentic threat modeling, AI-generated phishing detection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Frameworks &amp; Standards: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MITRE ATT&amp;CK, NIST, Zero Trust principles, Google Cloud Security (GCP)</w:t>
      </w:r>
    </w:p>
    <w:p>
      <w:pPr>
        <w:spacing w:after="0" w:before="60"/>
      </w:pPr>
    </w:p>
    <w:p>
      <w:pPr>
        <w:pBdr>
          <w:bottom w:val="single" w:color="2c5f8a" w:sz="8" w:space="1"/>
        </w:pBd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Proofpoint Certified AI Agent Security Specialist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Proofpoint  |  2026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Certified AI Security Expert (CASE)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Virtual Cyber Labs  |  2026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Certified Multi-Cloud Blue Team Analyst (MCBTA)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CyberWarFare Labs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Proofpoint AI Email Security Specialist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Proofpoint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Certified Cyber Criminologist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Virtual Cyber Labs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Google Cloud Cybersecurity Certificate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Google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OWASP Top 10 for LLMs Training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OWASP Foundation  | 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Advanced Threat Hunting Specialist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|  InfoSec Institute  |  2025</w:t>
      </w:r>
    </w:p>
    <w:p>
      <w:pPr>
        <w:spacing w:after="0" w:before="60"/>
      </w:pPr>
    </w:p>
    <w:p>
      <w:pPr>
        <w:pBdr>
          <w:bottom w:val="single" w:color="2c5f8a" w:sz="8" w:space="1"/>
        </w:pBd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PROFESSIONAL MEMBERSHIPS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M3AAWG (Messaging, Malware and Mobile Anti-Abuse Working Group) - Feb 2026 to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UK OSINT Community - Jan 2026 to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emailexpert.org community - Jun 2025 to Present</w:t>
      </w:r>
    </w:p>
    <w:p>
      <w:pPr>
        <w:spacing w:after="0" w:before="60"/>
      </w:pPr>
    </w:p>
    <w:p>
      <w:pPr>
        <w:pBdr>
          <w:bottom w:val="single" w:color="2c5f8a" w:sz="8" w:space="1"/>
        </w:pBdr>
        <w:spacing w:after="80" w:before="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pacing w:val="40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2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Engineering, Computer Science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2023</w:t>
      </w:r>
    </w:p>
    <w:p>
      <w:pPr>
        <w:spacing w:after="0" w:before="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Visvesvaraya Technological University, Bengaluru</w:t>
      </w:r>
    </w:p>
    <w:sectPr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2026-04-21T14:09:55.098Z</dcterms:created>
  <dcterms:modified xsi:type="dcterms:W3CDTF">2026-04-21T14:09:55.100Z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