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85F3" w14:textId="77777777" w:rsidR="00AA5793" w:rsidRDefault="00000000">
      <w:pPr>
        <w:pStyle w:val="Title"/>
      </w:pPr>
      <w:r>
        <w:t>Strategic Workforce Intelligence Report:</w:t>
      </w:r>
    </w:p>
    <w:p w14:paraId="72E9896D" w14:textId="77777777" w:rsidR="00AA5793" w:rsidRDefault="00000000">
      <w:r>
        <w:t>Productivity, Wellness, and Burnout Risk</w:t>
      </w:r>
    </w:p>
    <w:p w14:paraId="044A05C0" w14:textId="77777777" w:rsidR="00AA5793" w:rsidRDefault="00000000">
      <w:r>
        <w:br/>
        <w:t>Prepared by: Pranitha Sree</w:t>
      </w:r>
      <w:r>
        <w:br/>
        <w:t>Date: November 2025</w:t>
      </w:r>
    </w:p>
    <w:p w14:paraId="26CB40A3" w14:textId="77777777" w:rsidR="00AA5793" w:rsidRDefault="00000000">
      <w:pPr>
        <w:pStyle w:val="Heading1"/>
      </w:pPr>
      <w:r>
        <w:t>Executive Summary</w:t>
      </w:r>
    </w:p>
    <w:p w14:paraId="5E7B754B" w14:textId="77777777" w:rsidR="00AA5793" w:rsidRDefault="00000000">
      <w:r>
        <w:t>This report presents a strategic analysis of workforce productivity, wellness, and burnout risk, combining data-driven insights with practical HR implications. The study leverages Python, SQL, and Power BI to simulate, analyze, and visualize patterns of employee performance, stress, and well-being. Findings reveal key burnout drivers, departmental disparities, and evidence-based recommendations for enhancing workforce resilience and productivity.</w:t>
      </w:r>
    </w:p>
    <w:p w14:paraId="414FB469" w14:textId="77777777" w:rsidR="00AA5793" w:rsidRDefault="00000000">
      <w:pPr>
        <w:pStyle w:val="Heading1"/>
      </w:pPr>
      <w:r>
        <w:t>Methodology</w:t>
      </w:r>
    </w:p>
    <w:p w14:paraId="29C8E4C8" w14:textId="4353DE22" w:rsidR="00AA5793" w:rsidRDefault="00000000">
      <w:r>
        <w:t>The project was executed in three analytical phases:</w:t>
      </w:r>
      <w:r>
        <w:br/>
      </w:r>
      <w:r>
        <w:br/>
        <w:t>1. Data Generation (Python):</w:t>
      </w:r>
      <w:r w:rsidR="00F06317">
        <w:t xml:space="preserve"> </w:t>
      </w:r>
      <w:r>
        <w:t>A synthetic HR dataset of 800 employees was generated using NumPy and Pandas, representing realistic organizational structures and workforce conditions.</w:t>
      </w:r>
      <w:r>
        <w:br/>
        <w:t>2. Data Integration (SQL):</w:t>
      </w:r>
      <w:r w:rsidR="00F06317">
        <w:t xml:space="preserve"> </w:t>
      </w:r>
      <w:r>
        <w:t>Data tables were structured into a relational MySQL database, linked via EmployeeID, and validated for consistency before analysis.</w:t>
      </w:r>
      <w:r>
        <w:br/>
        <w:t>3. Visualization (Power BI):</w:t>
      </w:r>
      <w:r w:rsidR="00F06317">
        <w:t xml:space="preserve"> </w:t>
      </w:r>
      <w:r>
        <w:t>Data was modeled and visualized using Power BI to produce interactive dashboards highlighting KPIs, burnout trends, and departmental insights.</w:t>
      </w:r>
    </w:p>
    <w:p w14:paraId="1AFD8ED2" w14:textId="77777777" w:rsidR="00AA5793" w:rsidRDefault="00000000">
      <w:pPr>
        <w:pStyle w:val="Heading1"/>
      </w:pPr>
      <w:r>
        <w:t>Tools &amp; Technologies Used</w:t>
      </w:r>
    </w:p>
    <w:p w14:paraId="0C5CD0AE" w14:textId="77777777" w:rsidR="00AA5793" w:rsidRDefault="00000000">
      <w:r>
        <w:t>- Python (NumPy, Pandas) for data simulation</w:t>
      </w:r>
      <w:r>
        <w:br/>
        <w:t>- MySQL for database management</w:t>
      </w:r>
      <w:r>
        <w:br/>
        <w:t>- Power BI for visualization and dashboarding</w:t>
      </w:r>
      <w:r>
        <w:br/>
        <w:t>- DAX for dynamic measures and data modeling</w:t>
      </w:r>
    </w:p>
    <w:p w14:paraId="5FBE5423" w14:textId="77777777" w:rsidR="00AA5793" w:rsidRDefault="00000000">
      <w:pPr>
        <w:pStyle w:val="Heading1"/>
      </w:pPr>
      <w:r>
        <w:t>Dashboard Overview</w:t>
      </w:r>
    </w:p>
    <w:p w14:paraId="23AEB402" w14:textId="328DF70B" w:rsidR="00AA5793" w:rsidRDefault="00000000">
      <w:r>
        <w:t>The Power BI dashboard was designed with three analytical pages providing comprehensive insight into workforce health:</w:t>
      </w:r>
      <w:r>
        <w:br/>
        <w:t>1. Executive Overview:</w:t>
      </w:r>
      <w:r w:rsidR="00F06317">
        <w:t xml:space="preserve"> </w:t>
      </w:r>
      <w:r>
        <w:t>Summarized KPIs such as burnout rate, stress level, and wellness score.</w:t>
      </w:r>
      <w:r>
        <w:br/>
      </w:r>
      <w:r>
        <w:lastRenderedPageBreak/>
        <w:t>2. Workforce Productivity &amp; Burnout Analysis:</w:t>
      </w:r>
      <w:r w:rsidR="00F06317">
        <w:t xml:space="preserve"> </w:t>
      </w:r>
      <w:r>
        <w:t>Explored correlations between stress, work-life balance, and burnout.</w:t>
      </w:r>
      <w:r>
        <w:br/>
        <w:t>3. Department &amp; Performance Insights:</w:t>
      </w:r>
      <w:r w:rsidR="00F06317">
        <w:t xml:space="preserve"> </w:t>
      </w:r>
      <w:r>
        <w:t>Highlighted departmental and role-based burnout trends using dynamic filters.</w:t>
      </w:r>
    </w:p>
    <w:p w14:paraId="003C7CC8" w14:textId="77777777" w:rsidR="00AA5793" w:rsidRDefault="00000000">
      <w:pPr>
        <w:pStyle w:val="Heading1"/>
      </w:pPr>
      <w:r>
        <w:t>Key Findings &amp; Insights</w:t>
      </w:r>
    </w:p>
    <w:p w14:paraId="2B8BC625" w14:textId="2F80D0B8" w:rsidR="00AA5793" w:rsidRDefault="00000000">
      <w:r>
        <w:t>1. Workforce Wellness:</w:t>
      </w:r>
      <w:r w:rsidR="00F06317">
        <w:t xml:space="preserve"> </w:t>
      </w:r>
      <w:r>
        <w:t>The overall burnout rate stands at 2.75%, with an average burnout index of 25.9, reflecting moderate intensity. Stress levels (3.3/10) and a wellness score of 86 indicate a balanced workload environment.</w:t>
      </w:r>
      <w:r>
        <w:br/>
      </w:r>
      <w:r>
        <w:br/>
        <w:t>2. Department-Level Trends:</w:t>
      </w:r>
      <w:r w:rsidR="00F06317">
        <w:t xml:space="preserve"> </w:t>
      </w:r>
      <w:r>
        <w:t>Marketing (6.8%), Finance, and HR departments show higher burnout risk, while Operations, IT, and Sales demonstrate stronger balance and lower fatigue levels.</w:t>
      </w:r>
      <w:r>
        <w:br/>
      </w:r>
      <w:r>
        <w:br/>
        <w:t>3. Burnout Drivers:</w:t>
      </w:r>
      <w:r w:rsidR="00F06317">
        <w:t xml:space="preserve"> </w:t>
      </w:r>
      <w:r>
        <w:t>Burnout correlates strongly with stress (&gt;4.0), low sleep quality (&lt;8.5), and work hours exceeding 45 per week. Training hours contribute positively to engagement without increasing burnout.</w:t>
      </w:r>
      <w:r>
        <w:br/>
      </w:r>
      <w:r>
        <w:br/>
        <w:t>4. Role-Based Observations:</w:t>
      </w:r>
      <w:r w:rsidR="00F06317">
        <w:t xml:space="preserve"> </w:t>
      </w:r>
      <w:r>
        <w:t>HR Managers, Finance Managers, and Sales Executives exhibit the highest burnout levels, while technical roles such as Engineers and Analysts maintain lower stress resilience gaps.</w:t>
      </w:r>
      <w:r>
        <w:br/>
      </w:r>
      <w:r>
        <w:br/>
        <w:t>5. Performance Dynamics:</w:t>
      </w:r>
      <w:r w:rsidR="00F06317">
        <w:t xml:space="preserve"> </w:t>
      </w:r>
      <w:r>
        <w:t>Departments like R&amp;D and Finance sustain good performance despite moderate burnout, suggesting resilience but indicating potential long-term fatigue if unaddressed.</w:t>
      </w:r>
    </w:p>
    <w:p w14:paraId="2C3D49D8" w14:textId="77777777" w:rsidR="00AA5793" w:rsidRDefault="00000000">
      <w:pPr>
        <w:pStyle w:val="Heading1"/>
      </w:pPr>
      <w:r>
        <w:t>Strategic Recommendations</w:t>
      </w:r>
    </w:p>
    <w:p w14:paraId="4646A182" w14:textId="20724FCC" w:rsidR="00AA5793" w:rsidRDefault="00000000">
      <w:r>
        <w:t>- Targeted Interventions:</w:t>
      </w:r>
      <w:r w:rsidR="00F06317">
        <w:t xml:space="preserve"> </w:t>
      </w:r>
      <w:r>
        <w:t>Prioritize wellness initiatives in Marketing, Finance, and HR.</w:t>
      </w:r>
      <w:r>
        <w:br/>
        <w:t>- Stress &amp; Sleep Programs:</w:t>
      </w:r>
      <w:r w:rsidR="00F06317">
        <w:t xml:space="preserve"> </w:t>
      </w:r>
      <w:r>
        <w:t>Introduce stress management and sleep optimization programs organization-wide.</w:t>
      </w:r>
      <w:r>
        <w:br/>
        <w:t>- Workload Balancing:</w:t>
      </w:r>
      <w:r w:rsidR="00F06317">
        <w:t xml:space="preserve"> </w:t>
      </w:r>
      <w:r>
        <w:t>Implement flexible hours and workload audits for employees exceeding 45 weekly hours.</w:t>
      </w:r>
      <w:r>
        <w:br/>
        <w:t>- Continuous Monitoring:</w:t>
      </w:r>
      <w:r w:rsidR="00F06317">
        <w:t xml:space="preserve"> </w:t>
      </w:r>
      <w:r>
        <w:t>Track burnout and wellness metrics quarterly to detect early trends.</w:t>
      </w:r>
      <w:r>
        <w:br/>
        <w:t>- Employee Engagement Loop:</w:t>
      </w:r>
      <w:r w:rsidR="00F06317">
        <w:t xml:space="preserve"> </w:t>
      </w:r>
      <w:r>
        <w:t>Integrate real-time surveys to capture ongoing workforce sentiment.</w:t>
      </w:r>
    </w:p>
    <w:p w14:paraId="1EAEE15A" w14:textId="77777777" w:rsidR="00AA5793" w:rsidRDefault="00000000">
      <w:pPr>
        <w:pStyle w:val="Heading1"/>
      </w:pPr>
      <w:r>
        <w:t>Conclusion</w:t>
      </w:r>
    </w:p>
    <w:p w14:paraId="36080D77" w14:textId="77777777" w:rsidR="00AA5793" w:rsidRDefault="00000000">
      <w:r>
        <w:t xml:space="preserve">The Strategic Workforce Intelligence Report highlights the intersection of employee well-being and organizational performance. While the overall health of the workforce remains </w:t>
      </w:r>
      <w:r>
        <w:lastRenderedPageBreak/>
        <w:t>stable, specific departments and roles face elevated burnout risks. By adopting data-driven wellness strategies, organizations can cultivate a culture of balance, engagement, and sustained productivity.</w:t>
      </w:r>
    </w:p>
    <w:sectPr w:rsidR="00AA57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424988">
    <w:abstractNumId w:val="8"/>
  </w:num>
  <w:num w:numId="2" w16cid:durableId="1851530045">
    <w:abstractNumId w:val="6"/>
  </w:num>
  <w:num w:numId="3" w16cid:durableId="1038042290">
    <w:abstractNumId w:val="5"/>
  </w:num>
  <w:num w:numId="4" w16cid:durableId="1428887708">
    <w:abstractNumId w:val="4"/>
  </w:num>
  <w:num w:numId="5" w16cid:durableId="1477602465">
    <w:abstractNumId w:val="7"/>
  </w:num>
  <w:num w:numId="6" w16cid:durableId="14158388">
    <w:abstractNumId w:val="3"/>
  </w:num>
  <w:num w:numId="7" w16cid:durableId="2125686733">
    <w:abstractNumId w:val="2"/>
  </w:num>
  <w:num w:numId="8" w16cid:durableId="460029049">
    <w:abstractNumId w:val="1"/>
  </w:num>
  <w:num w:numId="9" w16cid:durableId="109979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70E4"/>
    <w:rsid w:val="009A4F8A"/>
    <w:rsid w:val="00AA1D8D"/>
    <w:rsid w:val="00AA5793"/>
    <w:rsid w:val="00B47730"/>
    <w:rsid w:val="00CB0664"/>
    <w:rsid w:val="00F06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43BA7"/>
  <w14:defaultImageDpi w14:val="300"/>
  <w15:docId w15:val="{12B86243-F3FB-4C36-8484-D373611D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pranitha sree</cp:lastModifiedBy>
  <cp:revision>3</cp:revision>
  <dcterms:created xsi:type="dcterms:W3CDTF">2013-12-23T23:15:00Z</dcterms:created>
  <dcterms:modified xsi:type="dcterms:W3CDTF">2025-11-03T15:08:00Z</dcterms:modified>
  <cp:category/>
</cp:coreProperties>
</file>