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1740" w14:textId="64B513DC" w:rsidR="007F11F9" w:rsidRDefault="007F11F9" w:rsidP="007F11F9">
      <w:pPr>
        <w:jc w:val="center"/>
        <w:rPr>
          <w:b/>
          <w:bCs/>
          <w:sz w:val="40"/>
          <w:szCs w:val="40"/>
        </w:rPr>
      </w:pPr>
      <w:r w:rsidRPr="007F11F9">
        <w:rPr>
          <w:b/>
          <w:bCs/>
          <w:sz w:val="40"/>
          <w:szCs w:val="40"/>
        </w:rPr>
        <w:t>Trader Performance vs Market Sentiment</w:t>
      </w:r>
    </w:p>
    <w:p w14:paraId="38F06104" w14:textId="77777777" w:rsidR="007F11F9" w:rsidRPr="007F11F9" w:rsidRDefault="007F11F9" w:rsidP="007F11F9">
      <w:pPr>
        <w:jc w:val="center"/>
        <w:rPr>
          <w:b/>
          <w:bCs/>
          <w:sz w:val="40"/>
          <w:szCs w:val="40"/>
        </w:rPr>
      </w:pPr>
    </w:p>
    <w:p w14:paraId="6B7334F4" w14:textId="77777777" w:rsidR="007F11F9" w:rsidRPr="007F11F9" w:rsidRDefault="007F11F9" w:rsidP="007F11F9">
      <w:pPr>
        <w:rPr>
          <w:b/>
          <w:bCs/>
          <w:sz w:val="32"/>
          <w:szCs w:val="32"/>
        </w:rPr>
      </w:pPr>
      <w:r w:rsidRPr="007F11F9">
        <w:rPr>
          <w:b/>
          <w:bCs/>
          <w:sz w:val="32"/>
          <w:szCs w:val="32"/>
        </w:rPr>
        <w:t>Methodology</w:t>
      </w:r>
    </w:p>
    <w:p w14:paraId="3DC357B2" w14:textId="6CFD2A00" w:rsidR="007F11F9" w:rsidRPr="007F11F9" w:rsidRDefault="007F11F9" w:rsidP="007F11F9">
      <w:r w:rsidRPr="007F11F9">
        <w:t xml:space="preserve">The objective of this analysis was to evaluate how Bitcoin market sentiment (Fear vs Greed) influences trader </w:t>
      </w:r>
      <w:proofErr w:type="spellStart"/>
      <w:r w:rsidRPr="007F11F9">
        <w:t>behavior</w:t>
      </w:r>
      <w:proofErr w:type="spellEnd"/>
      <w:r w:rsidRPr="007F11F9">
        <w:t xml:space="preserve"> and performanc</w:t>
      </w:r>
      <w:r>
        <w:t>e.</w:t>
      </w:r>
    </w:p>
    <w:p w14:paraId="0A08269A" w14:textId="77777777" w:rsidR="007F11F9" w:rsidRPr="007F11F9" w:rsidRDefault="007F11F9" w:rsidP="007F11F9">
      <w:r w:rsidRPr="007F11F9">
        <w:t xml:space="preserve">First, both datasets (trader-level historical data and Fear &amp; Greed index) were cleaned and standardized. Trade-level timestamps were converted to datetime format and aggregated to a </w:t>
      </w:r>
      <w:r w:rsidRPr="007F11F9">
        <w:rPr>
          <w:b/>
          <w:bCs/>
        </w:rPr>
        <w:t>daily trader-level</w:t>
      </w:r>
      <w:r w:rsidRPr="007F11F9">
        <w:t xml:space="preserve"> granularity to ensure proper alignment with the daily sentiment data.</w:t>
      </w:r>
    </w:p>
    <w:p w14:paraId="75BD9ABD" w14:textId="77777777" w:rsidR="007F11F9" w:rsidRPr="007F11F9" w:rsidRDefault="007F11F9" w:rsidP="007F11F9">
      <w:r w:rsidRPr="007F11F9">
        <w:t>For each trader per day, the following key metrics were engineered:</w:t>
      </w:r>
    </w:p>
    <w:p w14:paraId="05E638BA" w14:textId="77777777" w:rsidR="007F11F9" w:rsidRPr="007F11F9" w:rsidRDefault="007F11F9" w:rsidP="007F11F9">
      <w:pPr>
        <w:numPr>
          <w:ilvl w:val="0"/>
          <w:numId w:val="1"/>
        </w:numPr>
      </w:pPr>
      <w:r w:rsidRPr="007F11F9">
        <w:t xml:space="preserve">Daily </w:t>
      </w:r>
      <w:proofErr w:type="spellStart"/>
      <w:r w:rsidRPr="007F11F9">
        <w:t>PnL</w:t>
      </w:r>
      <w:proofErr w:type="spellEnd"/>
      <w:r w:rsidRPr="007F11F9">
        <w:t xml:space="preserve"> (sum of closed </w:t>
      </w:r>
      <w:proofErr w:type="spellStart"/>
      <w:r w:rsidRPr="007F11F9">
        <w:t>PnL</w:t>
      </w:r>
      <w:proofErr w:type="spellEnd"/>
      <w:r w:rsidRPr="007F11F9">
        <w:t>)</w:t>
      </w:r>
    </w:p>
    <w:p w14:paraId="6C1AF8FB" w14:textId="77777777" w:rsidR="007F11F9" w:rsidRPr="007F11F9" w:rsidRDefault="007F11F9" w:rsidP="007F11F9">
      <w:pPr>
        <w:numPr>
          <w:ilvl w:val="0"/>
          <w:numId w:val="1"/>
        </w:numPr>
      </w:pPr>
      <w:r w:rsidRPr="007F11F9">
        <w:t>Win rate (percentage of profitable trades)</w:t>
      </w:r>
    </w:p>
    <w:p w14:paraId="61CEA4FA" w14:textId="77777777" w:rsidR="007F11F9" w:rsidRPr="007F11F9" w:rsidRDefault="007F11F9" w:rsidP="007F11F9">
      <w:pPr>
        <w:numPr>
          <w:ilvl w:val="0"/>
          <w:numId w:val="1"/>
        </w:numPr>
      </w:pPr>
      <w:r w:rsidRPr="007F11F9">
        <w:t>Total trades per day</w:t>
      </w:r>
    </w:p>
    <w:p w14:paraId="4F9BE4F5" w14:textId="77777777" w:rsidR="007F11F9" w:rsidRPr="007F11F9" w:rsidRDefault="007F11F9" w:rsidP="007F11F9">
      <w:pPr>
        <w:numPr>
          <w:ilvl w:val="0"/>
          <w:numId w:val="1"/>
        </w:numPr>
      </w:pPr>
      <w:r w:rsidRPr="007F11F9">
        <w:t>Average trade size (USD)</w:t>
      </w:r>
    </w:p>
    <w:p w14:paraId="2AAB788D" w14:textId="77777777" w:rsidR="007F11F9" w:rsidRPr="007F11F9" w:rsidRDefault="007F11F9" w:rsidP="007F11F9">
      <w:pPr>
        <w:numPr>
          <w:ilvl w:val="0"/>
          <w:numId w:val="1"/>
        </w:numPr>
      </w:pPr>
      <w:r w:rsidRPr="007F11F9">
        <w:t>Total traded volume</w:t>
      </w:r>
    </w:p>
    <w:p w14:paraId="0F3C8222" w14:textId="77777777" w:rsidR="007F11F9" w:rsidRPr="007F11F9" w:rsidRDefault="007F11F9" w:rsidP="007F11F9">
      <w:pPr>
        <w:numPr>
          <w:ilvl w:val="0"/>
          <w:numId w:val="1"/>
        </w:numPr>
      </w:pPr>
      <w:r w:rsidRPr="007F11F9">
        <w:t>Long/Short ratio</w:t>
      </w:r>
    </w:p>
    <w:p w14:paraId="1F58FBB7" w14:textId="77777777" w:rsidR="007F11F9" w:rsidRPr="007F11F9" w:rsidRDefault="007F11F9" w:rsidP="007F11F9">
      <w:pPr>
        <w:numPr>
          <w:ilvl w:val="0"/>
          <w:numId w:val="1"/>
        </w:numPr>
      </w:pPr>
      <w:proofErr w:type="spellStart"/>
      <w:r w:rsidRPr="007F11F9">
        <w:t>PnL</w:t>
      </w:r>
      <w:proofErr w:type="spellEnd"/>
      <w:r w:rsidRPr="007F11F9">
        <w:t xml:space="preserve"> volatility proxy (standard deviation per trader)</w:t>
      </w:r>
    </w:p>
    <w:p w14:paraId="33BD5926" w14:textId="77777777" w:rsidR="007F11F9" w:rsidRDefault="007F11F9" w:rsidP="007F11F9">
      <w:r w:rsidRPr="007F11F9">
        <w:t xml:space="preserve">The datasets were merged on daily date to </w:t>
      </w:r>
      <w:proofErr w:type="spellStart"/>
      <w:r w:rsidRPr="007F11F9">
        <w:t>analyze</w:t>
      </w:r>
      <w:proofErr w:type="spellEnd"/>
      <w:r w:rsidRPr="007F11F9">
        <w:t xml:space="preserve"> regime-based differences. Traders were also segmented into </w:t>
      </w:r>
      <w:proofErr w:type="spellStart"/>
      <w:r w:rsidRPr="007F11F9">
        <w:t>behavioral</w:t>
      </w:r>
      <w:proofErr w:type="spellEnd"/>
      <w:r w:rsidRPr="007F11F9">
        <w:t xml:space="preserve"> categories: high vs low volume, frequent vs infrequent, and consistent vs inconsistent traders.</w:t>
      </w:r>
    </w:p>
    <w:p w14:paraId="290C4AE3" w14:textId="77777777" w:rsidR="007F11F9" w:rsidRDefault="007F11F9" w:rsidP="007F11F9"/>
    <w:p w14:paraId="5BCBA896" w14:textId="77777777" w:rsidR="007F11F9" w:rsidRPr="007F11F9" w:rsidRDefault="007F11F9" w:rsidP="007F11F9">
      <w:pPr>
        <w:rPr>
          <w:b/>
          <w:bCs/>
          <w:sz w:val="32"/>
          <w:szCs w:val="32"/>
        </w:rPr>
      </w:pPr>
      <w:r w:rsidRPr="007F11F9">
        <w:rPr>
          <w:b/>
          <w:bCs/>
          <w:sz w:val="32"/>
          <w:szCs w:val="32"/>
        </w:rPr>
        <w:t>Key Insights</w:t>
      </w:r>
    </w:p>
    <w:p w14:paraId="7F132F7B" w14:textId="77777777" w:rsidR="007F11F9" w:rsidRPr="007F11F9" w:rsidRDefault="007F11F9" w:rsidP="007F11F9">
      <w:pPr>
        <w:pStyle w:val="ListParagraph"/>
        <w:numPr>
          <w:ilvl w:val="0"/>
          <w:numId w:val="3"/>
        </w:numPr>
        <w:spacing w:line="240" w:lineRule="auto"/>
      </w:pPr>
      <w:r w:rsidRPr="007F11F9">
        <w:t>During Greed periods, traders exhibit significantly higher trade frequency, reflecting increased risk appetite. However, the win rate does not increase proportionally, suggesting potential overtrading and reduced trade quality.</w:t>
      </w:r>
    </w:p>
    <w:p w14:paraId="0662C8B7" w14:textId="08B9DFAF" w:rsidR="007F11F9" w:rsidRPr="007F11F9" w:rsidRDefault="007F11F9" w:rsidP="007F11F9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7F11F9">
        <w:t xml:space="preserve">Daily </w:t>
      </w:r>
      <w:proofErr w:type="spellStart"/>
      <w:r w:rsidRPr="007F11F9">
        <w:t>PnL</w:t>
      </w:r>
      <w:proofErr w:type="spellEnd"/>
      <w:r w:rsidRPr="007F11F9">
        <w:t xml:space="preserve"> variability is higher during Fear regimes. High-volume traders experience amplified gains and losses, indicating increased exposure sensitivity during volatile market conditions.</w:t>
      </w:r>
    </w:p>
    <w:p w14:paraId="6BD69982" w14:textId="5E682996" w:rsidR="007F11F9" w:rsidRPr="007F11F9" w:rsidRDefault="007F11F9" w:rsidP="007F11F9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7F11F9">
        <w:t xml:space="preserve">Traders with lower historical </w:t>
      </w:r>
      <w:proofErr w:type="spellStart"/>
      <w:r w:rsidRPr="007F11F9">
        <w:t>PnL</w:t>
      </w:r>
      <w:proofErr w:type="spellEnd"/>
      <w:r w:rsidRPr="007F11F9">
        <w:t xml:space="preserve"> volatility maintain relatively stable win rates across both Fear and Greed regimes. This suggests stronger discipline and better risk-adjusted performance.</w:t>
      </w:r>
    </w:p>
    <w:p w14:paraId="67FCB955" w14:textId="46E45D70" w:rsidR="007F11F9" w:rsidRDefault="007F11F9" w:rsidP="007F11F9">
      <w:pPr>
        <w:pStyle w:val="ListParagraph"/>
        <w:numPr>
          <w:ilvl w:val="0"/>
          <w:numId w:val="3"/>
        </w:numPr>
        <w:spacing w:line="240" w:lineRule="auto"/>
      </w:pPr>
      <w:r w:rsidRPr="007F11F9">
        <w:t>Greed regimes show a stronger long bias (higher long/short ratio), whereas Fear regimes demonstrate more balanced or defensive positioning.</w:t>
      </w:r>
    </w:p>
    <w:p w14:paraId="45E0CBBC" w14:textId="77777777" w:rsidR="007F11F9" w:rsidRDefault="007F11F9" w:rsidP="007F11F9"/>
    <w:p w14:paraId="35715E3F" w14:textId="77777777" w:rsidR="007F11F9" w:rsidRPr="007F11F9" w:rsidRDefault="007F11F9" w:rsidP="007F11F9">
      <w:pPr>
        <w:rPr>
          <w:b/>
          <w:bCs/>
          <w:sz w:val="32"/>
          <w:szCs w:val="32"/>
        </w:rPr>
      </w:pPr>
      <w:r w:rsidRPr="007F11F9">
        <w:rPr>
          <w:b/>
          <w:bCs/>
          <w:sz w:val="32"/>
          <w:szCs w:val="32"/>
        </w:rPr>
        <w:t>Strategy Recommendations</w:t>
      </w:r>
    </w:p>
    <w:p w14:paraId="49D96AC4" w14:textId="77777777" w:rsidR="007F11F9" w:rsidRDefault="007F11F9" w:rsidP="007F11F9">
      <w:pPr>
        <w:pStyle w:val="ListParagraph"/>
        <w:numPr>
          <w:ilvl w:val="0"/>
          <w:numId w:val="2"/>
        </w:numPr>
      </w:pPr>
      <w:r w:rsidRPr="007F11F9">
        <w:t>High-volume traders should decrease position sizing during Fear regimes to manage amplified downside volatility.</w:t>
      </w:r>
    </w:p>
    <w:p w14:paraId="6E602395" w14:textId="6CCE8536" w:rsidR="007F11F9" w:rsidRPr="007F11F9" w:rsidRDefault="007F11F9" w:rsidP="007F11F9">
      <w:pPr>
        <w:pStyle w:val="ListParagraph"/>
        <w:numPr>
          <w:ilvl w:val="0"/>
          <w:numId w:val="2"/>
        </w:numPr>
      </w:pPr>
      <w:r w:rsidRPr="007F11F9">
        <w:lastRenderedPageBreak/>
        <w:t>Implement trade frequency caps or stricter entry conditions during Greed periods to improve trade efficiency and prevent performance dilution.</w:t>
      </w:r>
    </w:p>
    <w:p w14:paraId="4D554532" w14:textId="4A6E1C83" w:rsidR="007F11F9" w:rsidRPr="007F11F9" w:rsidRDefault="007F11F9" w:rsidP="007F11F9">
      <w:pPr>
        <w:pStyle w:val="ListParagraph"/>
        <w:numPr>
          <w:ilvl w:val="0"/>
          <w:numId w:val="2"/>
        </w:numPr>
        <w:rPr>
          <w:b/>
          <w:bCs/>
        </w:rPr>
      </w:pPr>
      <w:r w:rsidRPr="007F11F9">
        <w:t xml:space="preserve">During volatile sentiment regimes, allocate greater capital weight to traders with historically stable </w:t>
      </w:r>
      <w:proofErr w:type="spellStart"/>
      <w:r w:rsidRPr="007F11F9">
        <w:t>PnL</w:t>
      </w:r>
      <w:proofErr w:type="spellEnd"/>
      <w:r w:rsidRPr="007F11F9">
        <w:t xml:space="preserve"> profiles to enhance risk-adjusted returns.</w:t>
      </w:r>
    </w:p>
    <w:p w14:paraId="5B4C609C" w14:textId="2595A2D2" w:rsidR="007F11F9" w:rsidRPr="007F11F9" w:rsidRDefault="007F11F9" w:rsidP="007F11F9"/>
    <w:p w14:paraId="1C232B86" w14:textId="77777777" w:rsidR="007F11F9" w:rsidRPr="007F11F9" w:rsidRDefault="007F11F9" w:rsidP="007F11F9">
      <w:pPr>
        <w:rPr>
          <w:b/>
          <w:bCs/>
          <w:sz w:val="32"/>
          <w:szCs w:val="32"/>
        </w:rPr>
      </w:pPr>
      <w:r w:rsidRPr="007F11F9">
        <w:rPr>
          <w:b/>
          <w:bCs/>
          <w:sz w:val="32"/>
          <w:szCs w:val="32"/>
        </w:rPr>
        <w:t>Conclusion</w:t>
      </w:r>
    </w:p>
    <w:p w14:paraId="0C4967E8" w14:textId="77777777" w:rsidR="007F11F9" w:rsidRPr="007F11F9" w:rsidRDefault="007F11F9" w:rsidP="007F11F9">
      <w:r w:rsidRPr="007F11F9">
        <w:t xml:space="preserve">Market sentiment materially influences trader </w:t>
      </w:r>
      <w:proofErr w:type="spellStart"/>
      <w:r w:rsidRPr="007F11F9">
        <w:t>behavior</w:t>
      </w:r>
      <w:proofErr w:type="spellEnd"/>
      <w:r w:rsidRPr="007F11F9">
        <w:t xml:space="preserve"> and risk-taking patterns. While average profitability differences between Fear and Greed regimes may be moderate, volatility, trade frequency, and exposure dynamics shift significantly. Adaptive sentiment-aware risk management strategies can improve performance stability and capital efficiency.</w:t>
      </w:r>
    </w:p>
    <w:p w14:paraId="5B18A068" w14:textId="77777777" w:rsidR="007F11F9" w:rsidRPr="007F11F9" w:rsidRDefault="007F11F9" w:rsidP="007F11F9"/>
    <w:p w14:paraId="70DFFE96" w14:textId="77777777" w:rsidR="007F11F9" w:rsidRPr="007F11F9" w:rsidRDefault="007F11F9" w:rsidP="007F11F9"/>
    <w:p w14:paraId="0224D50E" w14:textId="77777777" w:rsidR="007F11F9" w:rsidRDefault="007F11F9" w:rsidP="007F11F9">
      <w:pPr>
        <w:jc w:val="center"/>
      </w:pPr>
    </w:p>
    <w:sectPr w:rsidR="007F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90A0B"/>
    <w:multiLevelType w:val="multilevel"/>
    <w:tmpl w:val="F2F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509BD"/>
    <w:multiLevelType w:val="hybridMultilevel"/>
    <w:tmpl w:val="83A6E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1D3E22"/>
    <w:multiLevelType w:val="hybridMultilevel"/>
    <w:tmpl w:val="C7A0E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496384">
    <w:abstractNumId w:val="0"/>
  </w:num>
  <w:num w:numId="2" w16cid:durableId="1100219877">
    <w:abstractNumId w:val="1"/>
  </w:num>
  <w:num w:numId="3" w16cid:durableId="1513908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F9"/>
    <w:rsid w:val="006343E0"/>
    <w:rsid w:val="0079455D"/>
    <w:rsid w:val="007F11F9"/>
    <w:rsid w:val="00866B93"/>
    <w:rsid w:val="00CA6105"/>
    <w:rsid w:val="00D0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8B9D"/>
  <w15:chartTrackingRefBased/>
  <w15:docId w15:val="{38166760-8A06-4F3A-95DB-53726DD2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Bhangare</dc:creator>
  <cp:keywords/>
  <dc:description/>
  <cp:lastModifiedBy>Pranjal Bhangare</cp:lastModifiedBy>
  <cp:revision>1</cp:revision>
  <dcterms:created xsi:type="dcterms:W3CDTF">2026-02-25T21:26:00Z</dcterms:created>
  <dcterms:modified xsi:type="dcterms:W3CDTF">2026-02-25T21:32:00Z</dcterms:modified>
</cp:coreProperties>
</file>