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F766E"/>
          <w:sz w:val="36"/>
        </w:rPr>
        <w:t>LEVEL141</w:t>
      </w:r>
    </w:p>
    <w:p>
      <w:pPr>
        <w:jc w:val="center"/>
      </w:pPr>
      <w:r>
        <w:rPr>
          <w:b/>
          <w:color w:val="111827"/>
          <w:sz w:val="64"/>
        </w:rPr>
        <w:t>GROWTH</w:t>
        <w:br/>
        <w:t>ARCHITECTURE™</w:t>
      </w:r>
    </w:p>
    <w:p>
      <w:pPr>
        <w:jc w:val="center"/>
      </w:pPr>
      <w:r>
        <w:rPr>
          <w:b/>
          <w:color w:val="0F766E"/>
          <w:sz w:val="36"/>
        </w:rPr>
        <w:t>PRODUCT BIBLE</w:t>
      </w:r>
    </w:p>
    <w:p>
      <w:pPr>
        <w:jc w:val="center"/>
      </w:pPr>
      <w:r>
        <w:rPr>
          <w:sz w:val="26"/>
        </w:rPr>
        <w:t>PEAK™ Organisational Growth Framework</w:t>
        <w:br/>
        <w:t>Presence • Equity • Authority • Kinetic Growth</w:t>
      </w:r>
    </w:p>
    <w:p>
      <w:pPr>
        <w:spacing w:before="1500"/>
        <w:jc w:val="center"/>
      </w:pPr>
      <w:r>
        <w:rPr>
          <w:sz w:val="20"/>
        </w:rPr>
        <w:t>Master product reference for Leadership • Sales • Delivery • Governance • Training</w:t>
      </w:r>
    </w:p>
    <w:p>
      <w:r>
        <w:br w:type="page"/>
      </w:r>
    </w:p>
    <w:p>
      <w:pPr>
        <w:pStyle w:val="Heading1"/>
      </w:pPr>
      <w:r>
        <w:t>1. Level141 &amp; the Growth Architecture Philosophy</w:t>
      </w:r>
    </w:p>
    <w:p>
      <w:r>
        <w:t>Level141 is a Growth Architecture Company. We do not begin with campaigns, channels or isolated marketing activities. We begin with the organisation's current level, define the next level it intends to reach, identify the structural growth gaps between the two, and architect the integrated system required to bridge that gap.</w:t>
      </w:r>
    </w:p>
    <w:p>
      <w:r>
        <w:t>Growth is rarely constrained by a single problem. A business may have strong products but weak positioning; high awareness but poor conversion; lead generation without nurture; strong reputation but weak discoverability; sales ambition without a scalable demand engine; or multiple agencies and teams working without one governing architecture. Level141 Growth Architecture™ is designed to solve this fragmentation.</w:t>
      </w:r>
    </w:p>
    <w:tbl>
      <w:tblPr>
        <w:tblStyle w:val="TableGrid"/>
        <w:tblW w:type="auto" w:w="0"/>
        <w:tblLook w:firstColumn="1" w:firstRow="1" w:lastColumn="0" w:lastRow="0" w:noHBand="0" w:noVBand="1" w:val="04A0"/>
      </w:tblPr>
      <w:tblGrid>
        <w:gridCol w:w="10166"/>
      </w:tblGrid>
      <w:tr>
        <w:tc>
          <w:tcPr>
            <w:tcW w:type="dxa" w:w="10166"/>
            <w:shd w:fill="E6FFFB"/>
          </w:tcPr>
          <w:p>
            <w:r>
              <w:rPr>
                <w:b/>
                <w:color w:val="0F766E"/>
                <w:sz w:val="22"/>
              </w:rPr>
              <w:t>Core operating logic</w:t>
              <w:br/>
            </w:r>
            <w:r>
              <w:rPr>
                <w:sz w:val="18"/>
              </w:rPr>
              <w:t>CURRENT LEVEL → LQ™ GROWTH AUDIT → NEXT LEVEL → GROWTH GAP → PEAK™ ARCHITECTURE → B.R.A.N.D.S.™ GROWTH LEVERS → GOVERNED ACTIVATION → MEASUREMENT → SCALE</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6FFFB"/>
          </w:tcPr>
          <w:p>
            <w:r>
              <w:rPr>
                <w:b/>
                <w:color w:val="0F766E"/>
                <w:sz w:val="22"/>
              </w:rPr>
              <w:t>Framework distinction</w:t>
              <w:br/>
            </w:r>
            <w:r>
              <w:rPr>
                <w:sz w:val="18"/>
              </w:rPr>
              <w:t>PEAK™ is Level141's framework for organisational growth. V.I.B.E.™ is reserved for Personal Brand Architecture. Founder and organisational brands may support each other, but the frameworks remain distinct.</w:t>
            </w:r>
          </w:p>
        </w:tc>
      </w:tr>
    </w:tbl>
    <w:p>
      <w:pPr>
        <w:spacing w:after="0"/>
      </w:pPr>
    </w:p>
    <w:p>
      <w:pPr>
        <w:pStyle w:val="Heading1"/>
      </w:pPr>
      <w:r>
        <w:t>2. Product Master Specification</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Field</w:t>
            </w:r>
          </w:p>
        </w:tc>
        <w:tc>
          <w:tcPr>
            <w:tcW w:type="dxa" w:w="5083"/>
            <w:shd w:fill="111827"/>
            <w:vAlign w:val="center"/>
          </w:tcPr>
          <w:p>
            <w:pPr>
              <w:spacing w:after="0"/>
            </w:pPr>
            <w:r/>
            <w:r>
              <w:rPr>
                <w:rFonts w:ascii="Aptos" w:hAnsi="Aptos"/>
                <w:b/>
                <w:color w:val="FFFFFF"/>
                <w:sz w:val="16"/>
              </w:rPr>
              <w:t>Definition</w:t>
            </w:r>
          </w:p>
        </w:tc>
      </w:tr>
      <w:tr>
        <w:tc>
          <w:tcPr>
            <w:tcW w:type="dxa" w:w="5083"/>
            <w:vAlign w:val="center"/>
          </w:tcPr>
          <w:p>
            <w:pPr>
              <w:spacing w:after="0"/>
            </w:pPr>
            <w:r/>
            <w:r>
              <w:rPr>
                <w:rFonts w:ascii="Aptos" w:hAnsi="Aptos"/>
                <w:b w:val="0"/>
                <w:color w:val="111827"/>
                <w:sz w:val="16"/>
              </w:rPr>
              <w:t>Name</w:t>
            </w:r>
          </w:p>
        </w:tc>
        <w:tc>
          <w:tcPr>
            <w:tcW w:type="dxa" w:w="5083"/>
            <w:vAlign w:val="center"/>
          </w:tcPr>
          <w:p>
            <w:pPr>
              <w:spacing w:after="0"/>
            </w:pPr>
            <w:r/>
            <w:r>
              <w:rPr>
                <w:rFonts w:ascii="Aptos" w:hAnsi="Aptos"/>
                <w:b w:val="0"/>
                <w:color w:val="111827"/>
                <w:sz w:val="16"/>
              </w:rPr>
              <w:t>Level141 Growth Architecture™</w:t>
            </w:r>
          </w:p>
        </w:tc>
      </w:tr>
      <w:tr>
        <w:tc>
          <w:tcPr>
            <w:tcW w:type="dxa" w:w="5083"/>
            <w:vAlign w:val="center"/>
            <w:shd w:fill="F9FAFB"/>
          </w:tcPr>
          <w:p>
            <w:pPr>
              <w:spacing w:after="0"/>
            </w:pPr>
            <w:r/>
            <w:r>
              <w:rPr>
                <w:rFonts w:ascii="Aptos" w:hAnsi="Aptos"/>
                <w:b w:val="0"/>
                <w:color w:val="111827"/>
                <w:sz w:val="16"/>
              </w:rPr>
              <w:t>Category</w:t>
            </w:r>
          </w:p>
        </w:tc>
        <w:tc>
          <w:tcPr>
            <w:tcW w:type="dxa" w:w="5083"/>
            <w:vAlign w:val="center"/>
            <w:shd w:fill="F9FAFB"/>
          </w:tcPr>
          <w:p>
            <w:pPr>
              <w:spacing w:after="0"/>
            </w:pPr>
            <w:r/>
            <w:r>
              <w:rPr>
                <w:rFonts w:ascii="Aptos" w:hAnsi="Aptos"/>
                <w:b w:val="0"/>
                <w:color w:val="111827"/>
                <w:sz w:val="16"/>
              </w:rPr>
              <w:t>Organisational Growth</w:t>
            </w:r>
          </w:p>
        </w:tc>
      </w:tr>
      <w:tr>
        <w:tc>
          <w:tcPr>
            <w:tcW w:type="dxa" w:w="5083"/>
            <w:vAlign w:val="center"/>
          </w:tcPr>
          <w:p>
            <w:pPr>
              <w:spacing w:after="0"/>
            </w:pPr>
            <w:r/>
            <w:r>
              <w:rPr>
                <w:rFonts w:ascii="Aptos" w:hAnsi="Aptos"/>
                <w:b w:val="0"/>
                <w:color w:val="111827"/>
                <w:sz w:val="16"/>
              </w:rPr>
              <w:t>Status</w:t>
            </w:r>
          </w:p>
        </w:tc>
        <w:tc>
          <w:tcPr>
            <w:tcW w:type="dxa" w:w="5083"/>
            <w:vAlign w:val="center"/>
          </w:tcPr>
          <w:p>
            <w:pPr>
              <w:spacing w:after="0"/>
            </w:pPr>
            <w:r/>
            <w:r>
              <w:rPr>
                <w:rFonts w:ascii="Aptos" w:hAnsi="Aptos"/>
                <w:b w:val="0"/>
                <w:color w:val="111827"/>
                <w:sz w:val="16"/>
              </w:rPr>
              <w:t>Core Product</w:t>
            </w:r>
          </w:p>
        </w:tc>
      </w:tr>
      <w:tr>
        <w:tc>
          <w:tcPr>
            <w:tcW w:type="dxa" w:w="5083"/>
            <w:vAlign w:val="center"/>
            <w:shd w:fill="F9FAFB"/>
          </w:tcPr>
          <w:p>
            <w:pPr>
              <w:spacing w:after="0"/>
            </w:pPr>
            <w:r/>
            <w:r>
              <w:rPr>
                <w:rFonts w:ascii="Aptos" w:hAnsi="Aptos"/>
                <w:b w:val="0"/>
                <w:color w:val="111827"/>
                <w:sz w:val="16"/>
              </w:rPr>
              <w:t>Target Audience</w:t>
            </w:r>
          </w:p>
        </w:tc>
        <w:tc>
          <w:tcPr>
            <w:tcW w:type="dxa" w:w="5083"/>
            <w:vAlign w:val="center"/>
            <w:shd w:fill="F9FAFB"/>
          </w:tcPr>
          <w:p>
            <w:pPr>
              <w:spacing w:after="0"/>
            </w:pPr>
            <w:r/>
            <w:r>
              <w:rPr>
                <w:rFonts w:ascii="Aptos" w:hAnsi="Aptos"/>
                <w:b w:val="0"/>
                <w:color w:val="111827"/>
                <w:sz w:val="16"/>
              </w:rPr>
              <w:t>Growth-stage startups, SMEs, portfolio companies and established organisations with ambition and resources to scale</w:t>
            </w:r>
          </w:p>
        </w:tc>
      </w:tr>
      <w:tr>
        <w:tc>
          <w:tcPr>
            <w:tcW w:type="dxa" w:w="5083"/>
            <w:vAlign w:val="center"/>
          </w:tcPr>
          <w:p>
            <w:pPr>
              <w:spacing w:after="0"/>
            </w:pPr>
            <w:r/>
            <w:r>
              <w:rPr>
                <w:rFonts w:ascii="Aptos" w:hAnsi="Aptos"/>
                <w:b w:val="0"/>
                <w:color w:val="111827"/>
                <w:sz w:val="16"/>
              </w:rPr>
              <w:t>Pricing Model</w:t>
            </w:r>
          </w:p>
        </w:tc>
        <w:tc>
          <w:tcPr>
            <w:tcW w:type="dxa" w:w="5083"/>
            <w:vAlign w:val="center"/>
          </w:tcPr>
          <w:p>
            <w:pPr>
              <w:spacing w:after="0"/>
            </w:pPr>
            <w:r/>
            <w:r>
              <w:rPr>
                <w:rFonts w:ascii="Aptos" w:hAnsi="Aptos"/>
                <w:b w:val="0"/>
                <w:color w:val="111827"/>
                <w:sz w:val="16"/>
              </w:rPr>
              <w:t>Project + Governance Retainer</w:t>
            </w:r>
          </w:p>
        </w:tc>
      </w:tr>
      <w:tr>
        <w:tc>
          <w:tcPr>
            <w:tcW w:type="dxa" w:w="5083"/>
            <w:vAlign w:val="center"/>
            <w:shd w:fill="F9FAFB"/>
          </w:tcPr>
          <w:p>
            <w:pPr>
              <w:spacing w:after="0"/>
            </w:pPr>
            <w:r/>
            <w:r>
              <w:rPr>
                <w:rFonts w:ascii="Aptos" w:hAnsi="Aptos"/>
                <w:b w:val="0"/>
                <w:color w:val="111827"/>
                <w:sz w:val="16"/>
              </w:rPr>
              <w:t>Billing Cycle</w:t>
            </w:r>
          </w:p>
        </w:tc>
        <w:tc>
          <w:tcPr>
            <w:tcW w:type="dxa" w:w="5083"/>
            <w:vAlign w:val="center"/>
            <w:shd w:fill="F9FAFB"/>
          </w:tcPr>
          <w:p>
            <w:pPr>
              <w:spacing w:after="0"/>
            </w:pPr>
            <w:r/>
            <w:r>
              <w:rPr>
                <w:rFonts w:ascii="Aptos" w:hAnsi="Aptos"/>
                <w:b w:val="0"/>
                <w:color w:val="111827"/>
                <w:sz w:val="16"/>
              </w:rPr>
              <w:t>Custom</w:t>
            </w:r>
          </w:p>
        </w:tc>
      </w:tr>
      <w:tr>
        <w:tc>
          <w:tcPr>
            <w:tcW w:type="dxa" w:w="5083"/>
            <w:vAlign w:val="center"/>
          </w:tcPr>
          <w:p>
            <w:pPr>
              <w:spacing w:after="0"/>
            </w:pPr>
            <w:r/>
            <w:r>
              <w:rPr>
                <w:rFonts w:ascii="Aptos" w:hAnsi="Aptos"/>
                <w:b w:val="0"/>
                <w:color w:val="111827"/>
                <w:sz w:val="16"/>
              </w:rPr>
              <w:t>Pricing Unit</w:t>
            </w:r>
          </w:p>
        </w:tc>
        <w:tc>
          <w:tcPr>
            <w:tcW w:type="dxa" w:w="5083"/>
            <w:vAlign w:val="center"/>
          </w:tcPr>
          <w:p>
            <w:pPr>
              <w:spacing w:after="0"/>
            </w:pPr>
            <w:r/>
            <w:r>
              <w:rPr>
                <w:rFonts w:ascii="Aptos" w:hAnsi="Aptos"/>
                <w:b w:val="0"/>
                <w:color w:val="111827"/>
                <w:sz w:val="16"/>
              </w:rPr>
              <w:t>Engagement</w:t>
            </w:r>
          </w:p>
        </w:tc>
      </w:tr>
      <w:tr>
        <w:tc>
          <w:tcPr>
            <w:tcW w:type="dxa" w:w="5083"/>
            <w:vAlign w:val="center"/>
            <w:shd w:fill="F9FAFB"/>
          </w:tcPr>
          <w:p>
            <w:pPr>
              <w:spacing w:after="0"/>
            </w:pPr>
            <w:r/>
            <w:r>
              <w:rPr>
                <w:rFonts w:ascii="Aptos" w:hAnsi="Aptos"/>
                <w:b w:val="0"/>
                <w:color w:val="111827"/>
                <w:sz w:val="16"/>
              </w:rPr>
              <w:t>SKU</w:t>
            </w:r>
          </w:p>
        </w:tc>
        <w:tc>
          <w:tcPr>
            <w:tcW w:type="dxa" w:w="5083"/>
            <w:vAlign w:val="center"/>
            <w:shd w:fill="F9FAFB"/>
          </w:tcPr>
          <w:p>
            <w:pPr>
              <w:spacing w:after="0"/>
            </w:pPr>
            <w:r/>
            <w:r>
              <w:rPr>
                <w:rFonts w:ascii="Aptos" w:hAnsi="Aptos"/>
                <w:b w:val="0"/>
                <w:color w:val="111827"/>
                <w:sz w:val="16"/>
              </w:rPr>
              <w:t>L141-GA-001</w:t>
            </w:r>
          </w:p>
        </w:tc>
      </w:tr>
      <w:tr>
        <w:tc>
          <w:tcPr>
            <w:tcW w:type="dxa" w:w="5083"/>
            <w:vAlign w:val="center"/>
          </w:tcPr>
          <w:p>
            <w:pPr>
              <w:spacing w:after="0"/>
            </w:pPr>
            <w:r/>
            <w:r>
              <w:rPr>
                <w:rFonts w:ascii="Aptos" w:hAnsi="Aptos"/>
                <w:b w:val="0"/>
                <w:color w:val="111827"/>
                <w:sz w:val="16"/>
              </w:rPr>
              <w:t>Framework</w:t>
            </w:r>
          </w:p>
        </w:tc>
        <w:tc>
          <w:tcPr>
            <w:tcW w:type="dxa" w:w="5083"/>
            <w:vAlign w:val="center"/>
          </w:tcPr>
          <w:p>
            <w:pPr>
              <w:spacing w:after="0"/>
            </w:pPr>
            <w:r/>
            <w:r>
              <w:rPr>
                <w:rFonts w:ascii="Aptos" w:hAnsi="Aptos"/>
                <w:b w:val="0"/>
                <w:color w:val="111827"/>
                <w:sz w:val="16"/>
              </w:rPr>
              <w:t>PEAK™ — Presence → Equity → Authority → Kinetic Growth</w:t>
            </w:r>
          </w:p>
        </w:tc>
      </w:tr>
      <w:tr>
        <w:tc>
          <w:tcPr>
            <w:tcW w:type="dxa" w:w="5083"/>
            <w:vAlign w:val="center"/>
            <w:shd w:fill="F9FAFB"/>
          </w:tcPr>
          <w:p>
            <w:pPr>
              <w:spacing w:after="0"/>
            </w:pPr>
            <w:r/>
            <w:r>
              <w:rPr>
                <w:rFonts w:ascii="Aptos" w:hAnsi="Aptos"/>
                <w:b w:val="0"/>
                <w:color w:val="111827"/>
                <w:sz w:val="16"/>
              </w:rPr>
              <w:t>Operating Architecture</w:t>
            </w:r>
          </w:p>
        </w:tc>
        <w:tc>
          <w:tcPr>
            <w:tcW w:type="dxa" w:w="5083"/>
            <w:vAlign w:val="center"/>
            <w:shd w:fill="F9FAFB"/>
          </w:tcPr>
          <w:p>
            <w:pPr>
              <w:spacing w:after="0"/>
            </w:pPr>
            <w:r/>
            <w:r>
              <w:rPr>
                <w:rFonts w:ascii="Aptos" w:hAnsi="Aptos"/>
                <w:b w:val="0"/>
                <w:color w:val="111827"/>
                <w:sz w:val="16"/>
              </w:rPr>
              <w:t>LQ™ Growth Audit + PEAK™ + B.R.A.N.D.S.™ + Governance</w:t>
            </w:r>
          </w:p>
        </w:tc>
      </w:tr>
      <w:tr>
        <w:tc>
          <w:tcPr>
            <w:tcW w:type="dxa" w:w="5083"/>
            <w:vAlign w:val="center"/>
          </w:tcPr>
          <w:p>
            <w:pPr>
              <w:spacing w:after="0"/>
            </w:pPr>
            <w:r/>
            <w:r>
              <w:rPr>
                <w:rFonts w:ascii="Aptos" w:hAnsi="Aptos"/>
                <w:b w:val="0"/>
                <w:color w:val="111827"/>
                <w:sz w:val="16"/>
              </w:rPr>
              <w:t>USP</w:t>
            </w:r>
          </w:p>
        </w:tc>
        <w:tc>
          <w:tcPr>
            <w:tcW w:type="dxa" w:w="5083"/>
            <w:vAlign w:val="center"/>
          </w:tcPr>
          <w:p>
            <w:pPr>
              <w:spacing w:after="0"/>
            </w:pPr>
            <w:r/>
            <w:r>
              <w:rPr>
                <w:rFonts w:ascii="Aptos" w:hAnsi="Aptos"/>
                <w:b w:val="0"/>
                <w:color w:val="111827"/>
                <w:sz w:val="16"/>
              </w:rPr>
              <w:t>One integrated architecture connecting every critical growth lever to measurable business outcomes.</w:t>
            </w:r>
          </w:p>
        </w:tc>
      </w:tr>
      <w:tr>
        <w:tc>
          <w:tcPr>
            <w:tcW w:type="dxa" w:w="5083"/>
            <w:vAlign w:val="center"/>
            <w:shd w:fill="F9FAFB"/>
          </w:tcPr>
          <w:p>
            <w:pPr>
              <w:spacing w:after="0"/>
            </w:pPr>
            <w:r/>
            <w:r>
              <w:rPr>
                <w:rFonts w:ascii="Aptos" w:hAnsi="Aptos"/>
                <w:b w:val="0"/>
                <w:color w:val="111827"/>
                <w:sz w:val="16"/>
              </w:rPr>
              <w:t>Description</w:t>
            </w:r>
          </w:p>
        </w:tc>
        <w:tc>
          <w:tcPr>
            <w:tcW w:type="dxa" w:w="5083"/>
            <w:vAlign w:val="center"/>
            <w:shd w:fill="F9FAFB"/>
          </w:tcPr>
          <w:p>
            <w:pPr>
              <w:spacing w:after="0"/>
            </w:pPr>
            <w:r/>
            <w:r>
              <w:rPr>
                <w:rFonts w:ascii="Aptos" w:hAnsi="Aptos"/>
                <w:b w:val="0"/>
                <w:color w:val="111827"/>
                <w:sz w:val="16"/>
              </w:rPr>
              <w:t>Diagnose the current level, define the next level and architect the integrated system required to bridge the gap.</w:t>
            </w:r>
          </w:p>
        </w:tc>
      </w:tr>
      <w:tr>
        <w:tc>
          <w:tcPr>
            <w:tcW w:type="dxa" w:w="5083"/>
            <w:vAlign w:val="center"/>
          </w:tcPr>
          <w:p>
            <w:pPr>
              <w:spacing w:after="0"/>
            </w:pPr>
            <w:r/>
            <w:r>
              <w:rPr>
                <w:rFonts w:ascii="Aptos" w:hAnsi="Aptos"/>
                <w:b w:val="0"/>
                <w:color w:val="111827"/>
                <w:sz w:val="16"/>
              </w:rPr>
              <w:t>What It Is</w:t>
            </w:r>
          </w:p>
        </w:tc>
        <w:tc>
          <w:tcPr>
            <w:tcW w:type="dxa" w:w="5083"/>
            <w:vAlign w:val="center"/>
          </w:tcPr>
          <w:p>
            <w:pPr>
              <w:spacing w:after="0"/>
            </w:pPr>
            <w:r/>
            <w:r>
              <w:rPr>
                <w:rFonts w:ascii="Aptos" w:hAnsi="Aptos"/>
                <w:b w:val="0"/>
                <w:color w:val="111827"/>
                <w:sz w:val="16"/>
              </w:rPr>
              <w:t>End-to-end organisational growth architecture covering positioning, customer and market, visibility, conversion, trust, demand, nurture, discoverability, opportunity, measurement, governance and scale.</w:t>
            </w:r>
          </w:p>
        </w:tc>
      </w:tr>
      <w:tr>
        <w:tc>
          <w:tcPr>
            <w:tcW w:type="dxa" w:w="5083"/>
            <w:vAlign w:val="center"/>
            <w:shd w:fill="F9FAFB"/>
          </w:tcPr>
          <w:p>
            <w:pPr>
              <w:spacing w:after="0"/>
            </w:pPr>
            <w:r/>
            <w:r>
              <w:rPr>
                <w:rFonts w:ascii="Aptos" w:hAnsi="Aptos"/>
                <w:b w:val="0"/>
                <w:color w:val="111827"/>
                <w:sz w:val="16"/>
              </w:rPr>
              <w:t>What It Is Not</w:t>
            </w:r>
          </w:p>
        </w:tc>
        <w:tc>
          <w:tcPr>
            <w:tcW w:type="dxa" w:w="5083"/>
            <w:vAlign w:val="center"/>
            <w:shd w:fill="F9FAFB"/>
          </w:tcPr>
          <w:p>
            <w:pPr>
              <w:spacing w:after="0"/>
            </w:pPr>
            <w:r/>
            <w:r>
              <w:rPr>
                <w:rFonts w:ascii="Aptos" w:hAnsi="Aptos"/>
                <w:b w:val="0"/>
                <w:color w:val="111827"/>
                <w:sz w:val="16"/>
              </w:rPr>
              <w:t>A conventional marketing retainer, campaign package or bundle of disconnected agency services.</w:t>
            </w:r>
          </w:p>
        </w:tc>
      </w:tr>
      <w:tr>
        <w:tc>
          <w:tcPr>
            <w:tcW w:type="dxa" w:w="5083"/>
            <w:vAlign w:val="center"/>
          </w:tcPr>
          <w:p>
            <w:pPr>
              <w:spacing w:after="0"/>
            </w:pPr>
            <w:r/>
            <w:r>
              <w:rPr>
                <w:rFonts w:ascii="Aptos" w:hAnsi="Aptos"/>
                <w:b w:val="0"/>
                <w:color w:val="111827"/>
                <w:sz w:val="16"/>
              </w:rPr>
              <w:t>Commercial Fields</w:t>
            </w:r>
          </w:p>
        </w:tc>
        <w:tc>
          <w:tcPr>
            <w:tcW w:type="dxa" w:w="5083"/>
            <w:vAlign w:val="center"/>
          </w:tcPr>
          <w:p>
            <w:pPr>
              <w:spacing w:after="0"/>
            </w:pPr>
            <w:r/>
            <w:r>
              <w:rPr>
                <w:rFonts w:ascii="Aptos" w:hAnsi="Aptos"/>
                <w:b w:val="0"/>
                <w:color w:val="111827"/>
                <w:sz w:val="16"/>
              </w:rPr>
              <w:t>Price, currency, discounts, tax, setup fee, retainer, renewal and cancellation terms to be approved in the commercial rate card.</w:t>
            </w:r>
          </w:p>
        </w:tc>
      </w:tr>
    </w:tbl>
    <w:p>
      <w:pPr>
        <w:spacing w:after="0"/>
      </w:pPr>
    </w:p>
    <w:p>
      <w:pPr>
        <w:pStyle w:val="Heading1"/>
      </w:pPr>
      <w:r>
        <w:t>3. The Business Problem We Solve</w:t>
      </w:r>
    </w:p>
    <w:p>
      <w:r>
        <w:t>The central problem is not lack of activity. It is lack of integration. Organisations often invest in branding, social media, websites, paid media, PR, sales, CRM and content independently. Each function may be active, yet the combined system fails to move the business to its next level.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Growth pain</w:t>
            </w:r>
          </w:p>
        </w:tc>
        <w:tc>
          <w:tcPr>
            <w:tcW w:type="dxa" w:w="3389"/>
            <w:shd w:fill="111827"/>
            <w:vAlign w:val="center"/>
          </w:tcPr>
          <w:p>
            <w:pPr>
              <w:spacing w:after="0"/>
            </w:pPr>
            <w:r/>
            <w:r>
              <w:rPr>
                <w:rFonts w:ascii="Aptos" w:hAnsi="Aptos"/>
                <w:b/>
                <w:color w:val="FFFFFF"/>
                <w:sz w:val="16"/>
              </w:rPr>
              <w:t>What the client experiences</w:t>
            </w:r>
          </w:p>
        </w:tc>
        <w:tc>
          <w:tcPr>
            <w:tcW w:type="dxa" w:w="3389"/>
            <w:shd w:fill="111827"/>
            <w:vAlign w:val="center"/>
          </w:tcPr>
          <w:p>
            <w:pPr>
              <w:spacing w:after="0"/>
            </w:pPr>
            <w:r/>
            <w:r>
              <w:rPr>
                <w:rFonts w:ascii="Aptos" w:hAnsi="Aptos"/>
                <w:b/>
                <w:color w:val="FFFFFF"/>
                <w:sz w:val="16"/>
              </w:rPr>
              <w:t>Business consequence</w:t>
            </w:r>
          </w:p>
        </w:tc>
      </w:tr>
      <w:tr>
        <w:tc>
          <w:tcPr>
            <w:tcW w:type="dxa" w:w="3389"/>
            <w:vAlign w:val="center"/>
          </w:tcPr>
          <w:p>
            <w:pPr>
              <w:spacing w:after="0"/>
            </w:pPr>
            <w:r/>
            <w:r>
              <w:rPr>
                <w:rFonts w:ascii="Aptos" w:hAnsi="Aptos"/>
                <w:b w:val="0"/>
                <w:color w:val="111827"/>
                <w:sz w:val="16"/>
              </w:rPr>
              <w:t>Unclear positioning</w:t>
            </w:r>
          </w:p>
        </w:tc>
        <w:tc>
          <w:tcPr>
            <w:tcW w:type="dxa" w:w="3389"/>
            <w:vAlign w:val="center"/>
          </w:tcPr>
          <w:p>
            <w:pPr>
              <w:spacing w:after="0"/>
            </w:pPr>
            <w:r/>
            <w:r>
              <w:rPr>
                <w:rFonts w:ascii="Aptos" w:hAnsi="Aptos"/>
                <w:b w:val="0"/>
                <w:color w:val="111827"/>
                <w:sz w:val="16"/>
              </w:rPr>
              <w:t>The company cannot explain its differentiated value consistently.</w:t>
            </w:r>
          </w:p>
        </w:tc>
        <w:tc>
          <w:tcPr>
            <w:tcW w:type="dxa" w:w="3389"/>
            <w:vAlign w:val="center"/>
          </w:tcPr>
          <w:p>
            <w:pPr>
              <w:spacing w:after="0"/>
            </w:pPr>
            <w:r/>
            <w:r>
              <w:rPr>
                <w:rFonts w:ascii="Aptos" w:hAnsi="Aptos"/>
                <w:b w:val="0"/>
                <w:color w:val="111827"/>
                <w:sz w:val="16"/>
              </w:rPr>
              <w:t>Low recall, price pressure and weak market preference.</w:t>
            </w:r>
          </w:p>
        </w:tc>
      </w:tr>
      <w:tr>
        <w:tc>
          <w:tcPr>
            <w:tcW w:type="dxa" w:w="3389"/>
            <w:vAlign w:val="center"/>
            <w:shd w:fill="F9FAFB"/>
          </w:tcPr>
          <w:p>
            <w:pPr>
              <w:spacing w:after="0"/>
            </w:pPr>
            <w:r/>
            <w:r>
              <w:rPr>
                <w:rFonts w:ascii="Aptos" w:hAnsi="Aptos"/>
                <w:b w:val="0"/>
                <w:color w:val="111827"/>
                <w:sz w:val="16"/>
              </w:rPr>
              <w:t>Market/customer ambiguity</w:t>
            </w:r>
          </w:p>
        </w:tc>
        <w:tc>
          <w:tcPr>
            <w:tcW w:type="dxa" w:w="3389"/>
            <w:vAlign w:val="center"/>
            <w:shd w:fill="F9FAFB"/>
          </w:tcPr>
          <w:p>
            <w:pPr>
              <w:spacing w:after="0"/>
            </w:pPr>
            <w:r/>
            <w:r>
              <w:rPr>
                <w:rFonts w:ascii="Aptos" w:hAnsi="Aptos"/>
                <w:b w:val="0"/>
                <w:color w:val="111827"/>
                <w:sz w:val="16"/>
              </w:rPr>
              <w:t>Teams pursue broad audiences without a clear ICP, need-state or buying logic.</w:t>
            </w:r>
          </w:p>
        </w:tc>
        <w:tc>
          <w:tcPr>
            <w:tcW w:type="dxa" w:w="3389"/>
            <w:vAlign w:val="center"/>
            <w:shd w:fill="F9FAFB"/>
          </w:tcPr>
          <w:p>
            <w:pPr>
              <w:spacing w:after="0"/>
            </w:pPr>
            <w:r/>
            <w:r>
              <w:rPr>
                <w:rFonts w:ascii="Aptos" w:hAnsi="Aptos"/>
                <w:b w:val="0"/>
                <w:color w:val="111827"/>
                <w:sz w:val="16"/>
              </w:rPr>
              <w:t>Wasted acquisition spend and weak sales efficiency.</w:t>
            </w:r>
          </w:p>
        </w:tc>
      </w:tr>
      <w:tr>
        <w:tc>
          <w:tcPr>
            <w:tcW w:type="dxa" w:w="3389"/>
            <w:vAlign w:val="center"/>
          </w:tcPr>
          <w:p>
            <w:pPr>
              <w:spacing w:after="0"/>
            </w:pPr>
            <w:r/>
            <w:r>
              <w:rPr>
                <w:rFonts w:ascii="Aptos" w:hAnsi="Aptos"/>
                <w:b w:val="0"/>
                <w:color w:val="111827"/>
                <w:sz w:val="16"/>
              </w:rPr>
              <w:t>Visibility without conversion</w:t>
            </w:r>
          </w:p>
        </w:tc>
        <w:tc>
          <w:tcPr>
            <w:tcW w:type="dxa" w:w="3389"/>
            <w:vAlign w:val="center"/>
          </w:tcPr>
          <w:p>
            <w:pPr>
              <w:spacing w:after="0"/>
            </w:pPr>
            <w:r/>
            <w:r>
              <w:rPr>
                <w:rFonts w:ascii="Aptos" w:hAnsi="Aptos"/>
                <w:b w:val="0"/>
                <w:color w:val="111827"/>
                <w:sz w:val="16"/>
              </w:rPr>
              <w:t>Traffic, reach or awareness exists but journeys and conversion assets are weak.</w:t>
            </w:r>
          </w:p>
        </w:tc>
        <w:tc>
          <w:tcPr>
            <w:tcW w:type="dxa" w:w="3389"/>
            <w:vAlign w:val="center"/>
          </w:tcPr>
          <w:p>
            <w:pPr>
              <w:spacing w:after="0"/>
            </w:pPr>
            <w:r/>
            <w:r>
              <w:rPr>
                <w:rFonts w:ascii="Aptos" w:hAnsi="Aptos"/>
                <w:b w:val="0"/>
                <w:color w:val="111827"/>
                <w:sz w:val="16"/>
              </w:rPr>
              <w:t>Attention does not become pipeline.</w:t>
            </w:r>
          </w:p>
        </w:tc>
      </w:tr>
      <w:tr>
        <w:tc>
          <w:tcPr>
            <w:tcW w:type="dxa" w:w="3389"/>
            <w:vAlign w:val="center"/>
            <w:shd w:fill="F9FAFB"/>
          </w:tcPr>
          <w:p>
            <w:pPr>
              <w:spacing w:after="0"/>
            </w:pPr>
            <w:r/>
            <w:r>
              <w:rPr>
                <w:rFonts w:ascii="Aptos" w:hAnsi="Aptos"/>
                <w:b w:val="0"/>
                <w:color w:val="111827"/>
                <w:sz w:val="16"/>
              </w:rPr>
              <w:t>Lead generation in isolation</w:t>
            </w:r>
          </w:p>
        </w:tc>
        <w:tc>
          <w:tcPr>
            <w:tcW w:type="dxa" w:w="3389"/>
            <w:vAlign w:val="center"/>
            <w:shd w:fill="F9FAFB"/>
          </w:tcPr>
          <w:p>
            <w:pPr>
              <w:spacing w:after="0"/>
            </w:pPr>
            <w:r/>
            <w:r>
              <w:rPr>
                <w:rFonts w:ascii="Aptos" w:hAnsi="Aptos"/>
                <w:b w:val="0"/>
                <w:color w:val="111827"/>
                <w:sz w:val="16"/>
              </w:rPr>
              <w:t>Campaigns generate contacts without qualification, nurture or sales integration.</w:t>
            </w:r>
          </w:p>
        </w:tc>
        <w:tc>
          <w:tcPr>
            <w:tcW w:type="dxa" w:w="3389"/>
            <w:vAlign w:val="center"/>
            <w:shd w:fill="F9FAFB"/>
          </w:tcPr>
          <w:p>
            <w:pPr>
              <w:spacing w:after="0"/>
            </w:pPr>
            <w:r/>
            <w:r>
              <w:rPr>
                <w:rFonts w:ascii="Aptos" w:hAnsi="Aptos"/>
                <w:b w:val="0"/>
                <w:color w:val="111827"/>
                <w:sz w:val="16"/>
              </w:rPr>
              <w:t>Low lead quality and poor conversion.</w:t>
            </w:r>
          </w:p>
        </w:tc>
      </w:tr>
      <w:tr>
        <w:tc>
          <w:tcPr>
            <w:tcW w:type="dxa" w:w="3389"/>
            <w:vAlign w:val="center"/>
          </w:tcPr>
          <w:p>
            <w:pPr>
              <w:spacing w:after="0"/>
            </w:pPr>
            <w:r/>
            <w:r>
              <w:rPr>
                <w:rFonts w:ascii="Aptos" w:hAnsi="Aptos"/>
                <w:b w:val="0"/>
                <w:color w:val="111827"/>
                <w:sz w:val="16"/>
              </w:rPr>
              <w:t>Weak trust architecture</w:t>
            </w:r>
          </w:p>
        </w:tc>
        <w:tc>
          <w:tcPr>
            <w:tcW w:type="dxa" w:w="3389"/>
            <w:vAlign w:val="center"/>
          </w:tcPr>
          <w:p>
            <w:pPr>
              <w:spacing w:after="0"/>
            </w:pPr>
            <w:r/>
            <w:r>
              <w:rPr>
                <w:rFonts w:ascii="Aptos" w:hAnsi="Aptos"/>
                <w:b w:val="0"/>
                <w:color w:val="111827"/>
                <w:sz w:val="16"/>
              </w:rPr>
              <w:t>The organisation lacks proof, authority, testimonials, earned validation or consistent reputation signals.</w:t>
            </w:r>
          </w:p>
        </w:tc>
        <w:tc>
          <w:tcPr>
            <w:tcW w:type="dxa" w:w="3389"/>
            <w:vAlign w:val="center"/>
          </w:tcPr>
          <w:p>
            <w:pPr>
              <w:spacing w:after="0"/>
            </w:pPr>
            <w:r/>
            <w:r>
              <w:rPr>
                <w:rFonts w:ascii="Aptos" w:hAnsi="Aptos"/>
                <w:b w:val="0"/>
                <w:color w:val="111827"/>
                <w:sz w:val="16"/>
              </w:rPr>
              <w:t>Longer sales cycles and buyer hesitation.</w:t>
            </w:r>
          </w:p>
        </w:tc>
      </w:tr>
      <w:tr>
        <w:tc>
          <w:tcPr>
            <w:tcW w:type="dxa" w:w="3389"/>
            <w:vAlign w:val="center"/>
            <w:shd w:fill="F9FAFB"/>
          </w:tcPr>
          <w:p>
            <w:pPr>
              <w:spacing w:after="0"/>
            </w:pPr>
            <w:r/>
            <w:r>
              <w:rPr>
                <w:rFonts w:ascii="Aptos" w:hAnsi="Aptos"/>
                <w:b w:val="0"/>
                <w:color w:val="111827"/>
                <w:sz w:val="16"/>
              </w:rPr>
              <w:t>Poor discoverability</w:t>
            </w:r>
          </w:p>
        </w:tc>
        <w:tc>
          <w:tcPr>
            <w:tcW w:type="dxa" w:w="3389"/>
            <w:vAlign w:val="center"/>
            <w:shd w:fill="F9FAFB"/>
          </w:tcPr>
          <w:p>
            <w:pPr>
              <w:spacing w:after="0"/>
            </w:pPr>
            <w:r/>
            <w:r>
              <w:rPr>
                <w:rFonts w:ascii="Aptos" w:hAnsi="Aptos"/>
                <w:b w:val="0"/>
                <w:color w:val="111827"/>
                <w:sz w:val="16"/>
              </w:rPr>
              <w:t>Customers cannot easily find, understand or validate the company organically.</w:t>
            </w:r>
          </w:p>
        </w:tc>
        <w:tc>
          <w:tcPr>
            <w:tcW w:type="dxa" w:w="3389"/>
            <w:vAlign w:val="center"/>
            <w:shd w:fill="F9FAFB"/>
          </w:tcPr>
          <w:p>
            <w:pPr>
              <w:spacing w:after="0"/>
            </w:pPr>
            <w:r/>
            <w:r>
              <w:rPr>
                <w:rFonts w:ascii="Aptos" w:hAnsi="Aptos"/>
                <w:b w:val="0"/>
                <w:color w:val="111827"/>
                <w:sz w:val="16"/>
              </w:rPr>
              <w:t>Dependence on paid acquisition and referrals.</w:t>
            </w:r>
          </w:p>
        </w:tc>
      </w:tr>
      <w:tr>
        <w:tc>
          <w:tcPr>
            <w:tcW w:type="dxa" w:w="3389"/>
            <w:vAlign w:val="center"/>
          </w:tcPr>
          <w:p>
            <w:pPr>
              <w:spacing w:after="0"/>
            </w:pPr>
            <w:r/>
            <w:r>
              <w:rPr>
                <w:rFonts w:ascii="Aptos" w:hAnsi="Aptos"/>
                <w:b w:val="0"/>
                <w:color w:val="111827"/>
                <w:sz w:val="16"/>
              </w:rPr>
              <w:t>Fragmented vendors/teams</w:t>
            </w:r>
          </w:p>
        </w:tc>
        <w:tc>
          <w:tcPr>
            <w:tcW w:type="dxa" w:w="3389"/>
            <w:vAlign w:val="center"/>
          </w:tcPr>
          <w:p>
            <w:pPr>
              <w:spacing w:after="0"/>
            </w:pPr>
            <w:r/>
            <w:r>
              <w:rPr>
                <w:rFonts w:ascii="Aptos" w:hAnsi="Aptos"/>
                <w:b w:val="0"/>
                <w:color w:val="111827"/>
                <w:sz w:val="16"/>
              </w:rPr>
              <w:t>Multiple specialists execute without a shared architecture or KPI logic.</w:t>
            </w:r>
          </w:p>
        </w:tc>
        <w:tc>
          <w:tcPr>
            <w:tcW w:type="dxa" w:w="3389"/>
            <w:vAlign w:val="center"/>
          </w:tcPr>
          <w:p>
            <w:pPr>
              <w:spacing w:after="0"/>
            </w:pPr>
            <w:r/>
            <w:r>
              <w:rPr>
                <w:rFonts w:ascii="Aptos" w:hAnsi="Aptos"/>
                <w:b w:val="0"/>
                <w:color w:val="111827"/>
                <w:sz w:val="16"/>
              </w:rPr>
              <w:t>Duplication, inconsistent messaging and accountability gaps.</w:t>
            </w:r>
          </w:p>
        </w:tc>
      </w:tr>
      <w:tr>
        <w:tc>
          <w:tcPr>
            <w:tcW w:type="dxa" w:w="3389"/>
            <w:vAlign w:val="center"/>
            <w:shd w:fill="F9FAFB"/>
          </w:tcPr>
          <w:p>
            <w:pPr>
              <w:spacing w:after="0"/>
            </w:pPr>
            <w:r/>
            <w:r>
              <w:rPr>
                <w:rFonts w:ascii="Aptos" w:hAnsi="Aptos"/>
                <w:b w:val="0"/>
                <w:color w:val="111827"/>
                <w:sz w:val="16"/>
              </w:rPr>
              <w:t>No growth governance</w:t>
            </w:r>
          </w:p>
        </w:tc>
        <w:tc>
          <w:tcPr>
            <w:tcW w:type="dxa" w:w="3389"/>
            <w:vAlign w:val="center"/>
            <w:shd w:fill="F9FAFB"/>
          </w:tcPr>
          <w:p>
            <w:pPr>
              <w:spacing w:after="0"/>
            </w:pPr>
            <w:r/>
            <w:r>
              <w:rPr>
                <w:rFonts w:ascii="Aptos" w:hAnsi="Aptos"/>
                <w:b w:val="0"/>
                <w:color w:val="111827"/>
                <w:sz w:val="16"/>
              </w:rPr>
              <w:t>Reports describe activity but not business movement.</w:t>
            </w:r>
          </w:p>
        </w:tc>
        <w:tc>
          <w:tcPr>
            <w:tcW w:type="dxa" w:w="3389"/>
            <w:vAlign w:val="center"/>
            <w:shd w:fill="F9FAFB"/>
          </w:tcPr>
          <w:p>
            <w:pPr>
              <w:spacing w:after="0"/>
            </w:pPr>
            <w:r/>
            <w:r>
              <w:rPr>
                <w:rFonts w:ascii="Aptos" w:hAnsi="Aptos"/>
                <w:b w:val="0"/>
                <w:color w:val="111827"/>
                <w:sz w:val="16"/>
              </w:rPr>
              <w:t>Leadership cannot identify what is working or what to change.</w:t>
            </w:r>
          </w:p>
        </w:tc>
      </w:tr>
      <w:tr>
        <w:tc>
          <w:tcPr>
            <w:tcW w:type="dxa" w:w="3389"/>
            <w:vAlign w:val="center"/>
          </w:tcPr>
          <w:p>
            <w:pPr>
              <w:spacing w:after="0"/>
            </w:pPr>
            <w:r/>
            <w:r>
              <w:rPr>
                <w:rFonts w:ascii="Aptos" w:hAnsi="Aptos"/>
                <w:b w:val="0"/>
                <w:color w:val="111827"/>
                <w:sz w:val="16"/>
              </w:rPr>
              <w:t>Scaling before readiness</w:t>
            </w:r>
          </w:p>
        </w:tc>
        <w:tc>
          <w:tcPr>
            <w:tcW w:type="dxa" w:w="3389"/>
            <w:vAlign w:val="center"/>
          </w:tcPr>
          <w:p>
            <w:pPr>
              <w:spacing w:after="0"/>
            </w:pPr>
            <w:r/>
            <w:r>
              <w:rPr>
                <w:rFonts w:ascii="Aptos" w:hAnsi="Aptos"/>
                <w:b w:val="0"/>
                <w:color w:val="111827"/>
                <w:sz w:val="16"/>
              </w:rPr>
              <w:t>The organisation increases spend before fixing positioning, conversion, systems or capacity.</w:t>
            </w:r>
          </w:p>
        </w:tc>
        <w:tc>
          <w:tcPr>
            <w:tcW w:type="dxa" w:w="3389"/>
            <w:vAlign w:val="center"/>
          </w:tcPr>
          <w:p>
            <w:pPr>
              <w:spacing w:after="0"/>
            </w:pPr>
            <w:r/>
            <w:r>
              <w:rPr>
                <w:rFonts w:ascii="Aptos" w:hAnsi="Aptos"/>
                <w:b w:val="0"/>
                <w:color w:val="111827"/>
                <w:sz w:val="16"/>
              </w:rPr>
              <w:t>Growth becomes expensive and unstable.</w:t>
            </w:r>
          </w:p>
        </w:tc>
      </w:tr>
      <w:tr>
        <w:tc>
          <w:tcPr>
            <w:tcW w:type="dxa" w:w="3389"/>
            <w:vAlign w:val="center"/>
            <w:shd w:fill="F9FAFB"/>
          </w:tcPr>
          <w:p>
            <w:pPr>
              <w:spacing w:after="0"/>
            </w:pPr>
            <w:r/>
            <w:r>
              <w:rPr>
                <w:rFonts w:ascii="Aptos" w:hAnsi="Aptos"/>
                <w:b w:val="0"/>
                <w:color w:val="111827"/>
                <w:sz w:val="16"/>
              </w:rPr>
              <w:t>Founder dependency</w:t>
            </w:r>
          </w:p>
        </w:tc>
        <w:tc>
          <w:tcPr>
            <w:tcW w:type="dxa" w:w="3389"/>
            <w:vAlign w:val="center"/>
            <w:shd w:fill="F9FAFB"/>
          </w:tcPr>
          <w:p>
            <w:pPr>
              <w:spacing w:after="0"/>
            </w:pPr>
            <w:r/>
            <w:r>
              <w:rPr>
                <w:rFonts w:ascii="Aptos" w:hAnsi="Aptos"/>
                <w:b w:val="0"/>
                <w:color w:val="111827"/>
                <w:sz w:val="16"/>
              </w:rPr>
              <w:t>Trust and selling depend excessively on one person.</w:t>
            </w:r>
          </w:p>
        </w:tc>
        <w:tc>
          <w:tcPr>
            <w:tcW w:type="dxa" w:w="3389"/>
            <w:vAlign w:val="center"/>
            <w:shd w:fill="F9FAFB"/>
          </w:tcPr>
          <w:p>
            <w:pPr>
              <w:spacing w:after="0"/>
            </w:pPr>
            <w:r/>
            <w:r>
              <w:rPr>
                <w:rFonts w:ascii="Aptos" w:hAnsi="Aptos"/>
                <w:b w:val="0"/>
                <w:color w:val="111827"/>
                <w:sz w:val="16"/>
              </w:rPr>
              <w:t>Scale and institutional credibility are constrained.</w:t>
            </w:r>
          </w:p>
        </w:tc>
      </w:tr>
    </w:tbl>
    <w:p>
      <w:pPr>
        <w:spacing w:after="0"/>
      </w:pPr>
    </w:p>
    <w:p>
      <w:pPr>
        <w:pStyle w:val="Heading1"/>
      </w:pPr>
      <w:r>
        <w:t>4. Ideal Customer Profile (ICP)</w:t>
      </w:r>
    </w:p>
    <w:p>
      <w:r>
        <w:t>The best-fit client has a real business, a credible offer, leadership ambition and sufficient organisational or financial capacity to act on the architecture. Level141 is not designed for businesses seeking a quick advertising campaign without willingness to address structural growth gaps.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Pr>
          <w:p>
            <w:pPr>
              <w:spacing w:after="0"/>
            </w:pPr>
            <w:r/>
            <w:r>
              <w:rPr>
                <w:rFonts w:ascii="Aptos" w:hAnsi="Aptos"/>
                <w:b/>
                <w:color w:val="FFFFFF"/>
                <w:sz w:val="16"/>
              </w:rPr>
              <w:t>ICP segment</w:t>
            </w:r>
          </w:p>
        </w:tc>
        <w:tc>
          <w:tcPr>
            <w:tcW w:type="dxa" w:w="2541"/>
            <w:shd w:fill="111827"/>
            <w:vAlign w:val="center"/>
          </w:tcPr>
          <w:p>
            <w:pPr>
              <w:spacing w:after="0"/>
            </w:pPr>
            <w:r/>
            <w:r>
              <w:rPr>
                <w:rFonts w:ascii="Aptos" w:hAnsi="Aptos"/>
                <w:b/>
                <w:color w:val="FFFFFF"/>
                <w:sz w:val="16"/>
              </w:rPr>
              <w:t>Typical situation</w:t>
            </w:r>
          </w:p>
        </w:tc>
        <w:tc>
          <w:tcPr>
            <w:tcW w:type="dxa" w:w="2541"/>
            <w:shd w:fill="111827"/>
            <w:vAlign w:val="center"/>
          </w:tcPr>
          <w:p>
            <w:pPr>
              <w:spacing w:after="0"/>
            </w:pPr>
            <w:r/>
            <w:r>
              <w:rPr>
                <w:rFonts w:ascii="Aptos" w:hAnsi="Aptos"/>
                <w:b/>
                <w:color w:val="FFFFFF"/>
                <w:sz w:val="16"/>
              </w:rPr>
              <w:t>Trigger</w:t>
            </w:r>
          </w:p>
        </w:tc>
        <w:tc>
          <w:tcPr>
            <w:tcW w:type="dxa" w:w="2541"/>
            <w:shd w:fill="111827"/>
            <w:vAlign w:val="center"/>
          </w:tcPr>
          <w:p>
            <w:pPr>
              <w:spacing w:after="0"/>
            </w:pPr>
            <w:r/>
            <w:r>
              <w:rPr>
                <w:rFonts w:ascii="Aptos" w:hAnsi="Aptos"/>
                <w:b/>
                <w:color w:val="FFFFFF"/>
                <w:sz w:val="16"/>
              </w:rPr>
              <w:t>Primary outcome sought</w:t>
            </w:r>
          </w:p>
        </w:tc>
      </w:tr>
      <w:tr>
        <w:tc>
          <w:tcPr>
            <w:tcW w:type="dxa" w:w="2541"/>
            <w:vAlign w:val="center"/>
          </w:tcPr>
          <w:p>
            <w:pPr>
              <w:spacing w:after="0"/>
            </w:pPr>
            <w:r/>
            <w:r>
              <w:rPr>
                <w:rFonts w:ascii="Aptos" w:hAnsi="Aptos"/>
                <w:b w:val="0"/>
                <w:color w:val="111827"/>
                <w:sz w:val="16"/>
              </w:rPr>
              <w:t>Growth-stage startup</w:t>
            </w:r>
          </w:p>
        </w:tc>
        <w:tc>
          <w:tcPr>
            <w:tcW w:type="dxa" w:w="2541"/>
            <w:vAlign w:val="center"/>
          </w:tcPr>
          <w:p>
            <w:pPr>
              <w:spacing w:after="0"/>
            </w:pPr>
            <w:r/>
            <w:r>
              <w:rPr>
                <w:rFonts w:ascii="Aptos" w:hAnsi="Aptos"/>
                <w:b w:val="0"/>
                <w:color w:val="111827"/>
                <w:sz w:val="16"/>
              </w:rPr>
              <w:t>Product-market evidence exists and the business needs repeatable growth.</w:t>
            </w:r>
          </w:p>
        </w:tc>
        <w:tc>
          <w:tcPr>
            <w:tcW w:type="dxa" w:w="2541"/>
            <w:vAlign w:val="center"/>
          </w:tcPr>
          <w:p>
            <w:pPr>
              <w:spacing w:after="0"/>
            </w:pPr>
            <w:r/>
            <w:r>
              <w:rPr>
                <w:rFonts w:ascii="Aptos" w:hAnsi="Aptos"/>
                <w:b w:val="0"/>
                <w:color w:val="111827"/>
                <w:sz w:val="16"/>
              </w:rPr>
              <w:t>Fundraise, market expansion, scale-up or stalled acquisition.</w:t>
            </w:r>
          </w:p>
        </w:tc>
        <w:tc>
          <w:tcPr>
            <w:tcW w:type="dxa" w:w="2541"/>
            <w:vAlign w:val="center"/>
          </w:tcPr>
          <w:p>
            <w:pPr>
              <w:spacing w:after="0"/>
            </w:pPr>
            <w:r/>
            <w:r>
              <w:rPr>
                <w:rFonts w:ascii="Aptos" w:hAnsi="Aptos"/>
                <w:b w:val="0"/>
                <w:color w:val="111827"/>
                <w:sz w:val="16"/>
              </w:rPr>
              <w:t>A coherent market, demand, conversion and scale architecture.</w:t>
            </w:r>
          </w:p>
        </w:tc>
      </w:tr>
      <w:tr>
        <w:tc>
          <w:tcPr>
            <w:tcW w:type="dxa" w:w="2541"/>
            <w:vAlign w:val="center"/>
            <w:shd w:fill="F9FAFB"/>
          </w:tcPr>
          <w:p>
            <w:pPr>
              <w:spacing w:after="0"/>
            </w:pPr>
            <w:r/>
            <w:r>
              <w:rPr>
                <w:rFonts w:ascii="Aptos" w:hAnsi="Aptos"/>
                <w:b w:val="0"/>
                <w:color w:val="111827"/>
                <w:sz w:val="16"/>
              </w:rPr>
              <w:t>SME / founder-led business</w:t>
            </w:r>
          </w:p>
        </w:tc>
        <w:tc>
          <w:tcPr>
            <w:tcW w:type="dxa" w:w="2541"/>
            <w:vAlign w:val="center"/>
            <w:shd w:fill="F9FAFB"/>
          </w:tcPr>
          <w:p>
            <w:pPr>
              <w:spacing w:after="0"/>
            </w:pPr>
            <w:r/>
            <w:r>
              <w:rPr>
                <w:rFonts w:ascii="Aptos" w:hAnsi="Aptos"/>
                <w:b w:val="0"/>
                <w:color w:val="111827"/>
                <w:sz w:val="16"/>
              </w:rPr>
              <w:t>Business has traction but growth remains relationship- or founder-dependent.</w:t>
            </w:r>
          </w:p>
        </w:tc>
        <w:tc>
          <w:tcPr>
            <w:tcW w:type="dxa" w:w="2541"/>
            <w:vAlign w:val="center"/>
            <w:shd w:fill="F9FAFB"/>
          </w:tcPr>
          <w:p>
            <w:pPr>
              <w:spacing w:after="0"/>
            </w:pPr>
            <w:r/>
            <w:r>
              <w:rPr>
                <w:rFonts w:ascii="Aptos" w:hAnsi="Aptos"/>
                <w:b w:val="0"/>
                <w:color w:val="111827"/>
                <w:sz w:val="16"/>
              </w:rPr>
              <w:t>Revenue plateau, professionalisation or new geography.</w:t>
            </w:r>
          </w:p>
        </w:tc>
        <w:tc>
          <w:tcPr>
            <w:tcW w:type="dxa" w:w="2541"/>
            <w:vAlign w:val="center"/>
            <w:shd w:fill="F9FAFB"/>
          </w:tcPr>
          <w:p>
            <w:pPr>
              <w:spacing w:after="0"/>
            </w:pPr>
            <w:r/>
            <w:r>
              <w:rPr>
                <w:rFonts w:ascii="Aptos" w:hAnsi="Aptos"/>
                <w:b w:val="0"/>
                <w:color w:val="111827"/>
                <w:sz w:val="16"/>
              </w:rPr>
              <w:t>Institutionalised growth system and stronger market authority.</w:t>
            </w:r>
          </w:p>
        </w:tc>
      </w:tr>
      <w:tr>
        <w:tc>
          <w:tcPr>
            <w:tcW w:type="dxa" w:w="2541"/>
            <w:vAlign w:val="center"/>
          </w:tcPr>
          <w:p>
            <w:pPr>
              <w:spacing w:after="0"/>
            </w:pPr>
            <w:r/>
            <w:r>
              <w:rPr>
                <w:rFonts w:ascii="Aptos" w:hAnsi="Aptos"/>
                <w:b w:val="0"/>
                <w:color w:val="111827"/>
                <w:sz w:val="16"/>
              </w:rPr>
              <w:t>Portfolio company</w:t>
            </w:r>
          </w:p>
        </w:tc>
        <w:tc>
          <w:tcPr>
            <w:tcW w:type="dxa" w:w="2541"/>
            <w:vAlign w:val="center"/>
          </w:tcPr>
          <w:p>
            <w:pPr>
              <w:spacing w:after="0"/>
            </w:pPr>
            <w:r/>
            <w:r>
              <w:rPr>
                <w:rFonts w:ascii="Aptos" w:hAnsi="Aptos"/>
                <w:b w:val="0"/>
                <w:color w:val="111827"/>
                <w:sz w:val="16"/>
              </w:rPr>
              <w:t>Investor/holding company needs clearer growth visibility and governance.</w:t>
            </w:r>
          </w:p>
        </w:tc>
        <w:tc>
          <w:tcPr>
            <w:tcW w:type="dxa" w:w="2541"/>
            <w:vAlign w:val="center"/>
          </w:tcPr>
          <w:p>
            <w:pPr>
              <w:spacing w:after="0"/>
            </w:pPr>
            <w:r/>
            <w:r>
              <w:rPr>
                <w:rFonts w:ascii="Aptos" w:hAnsi="Aptos"/>
                <w:b w:val="0"/>
                <w:color w:val="111827"/>
                <w:sz w:val="16"/>
              </w:rPr>
              <w:t>Post-investment value creation or underperformance.</w:t>
            </w:r>
          </w:p>
        </w:tc>
        <w:tc>
          <w:tcPr>
            <w:tcW w:type="dxa" w:w="2541"/>
            <w:vAlign w:val="center"/>
          </w:tcPr>
          <w:p>
            <w:pPr>
              <w:spacing w:after="0"/>
            </w:pPr>
            <w:r/>
            <w:r>
              <w:rPr>
                <w:rFonts w:ascii="Aptos" w:hAnsi="Aptos"/>
                <w:b w:val="0"/>
                <w:color w:val="111827"/>
                <w:sz w:val="16"/>
              </w:rPr>
              <w:t>Diagnosed gaps, governed roadmap and measurable improvement.</w:t>
            </w:r>
          </w:p>
        </w:tc>
      </w:tr>
      <w:tr>
        <w:tc>
          <w:tcPr>
            <w:tcW w:type="dxa" w:w="2541"/>
            <w:vAlign w:val="center"/>
            <w:shd w:fill="F9FAFB"/>
          </w:tcPr>
          <w:p>
            <w:pPr>
              <w:spacing w:after="0"/>
            </w:pPr>
            <w:r/>
            <w:r>
              <w:rPr>
                <w:rFonts w:ascii="Aptos" w:hAnsi="Aptos"/>
                <w:b w:val="0"/>
                <w:color w:val="111827"/>
                <w:sz w:val="16"/>
              </w:rPr>
              <w:t>Established organisation</w:t>
            </w:r>
          </w:p>
        </w:tc>
        <w:tc>
          <w:tcPr>
            <w:tcW w:type="dxa" w:w="2541"/>
            <w:vAlign w:val="center"/>
            <w:shd w:fill="F9FAFB"/>
          </w:tcPr>
          <w:p>
            <w:pPr>
              <w:spacing w:after="0"/>
            </w:pPr>
            <w:r/>
            <w:r>
              <w:rPr>
                <w:rFonts w:ascii="Aptos" w:hAnsi="Aptos"/>
                <w:b w:val="0"/>
                <w:color w:val="111827"/>
                <w:sz w:val="16"/>
              </w:rPr>
              <w:t>Brand and operations exist but growth functions have become siloed.</w:t>
            </w:r>
          </w:p>
        </w:tc>
        <w:tc>
          <w:tcPr>
            <w:tcW w:type="dxa" w:w="2541"/>
            <w:vAlign w:val="center"/>
            <w:shd w:fill="F9FAFB"/>
          </w:tcPr>
          <w:p>
            <w:pPr>
              <w:spacing w:after="0"/>
            </w:pPr>
            <w:r/>
            <w:r>
              <w:rPr>
                <w:rFonts w:ascii="Aptos" w:hAnsi="Aptos"/>
                <w:b w:val="0"/>
                <w:color w:val="111827"/>
                <w:sz w:val="16"/>
              </w:rPr>
              <w:t>Transformation, category pressure or new growth mandate.</w:t>
            </w:r>
          </w:p>
        </w:tc>
        <w:tc>
          <w:tcPr>
            <w:tcW w:type="dxa" w:w="2541"/>
            <w:vAlign w:val="center"/>
            <w:shd w:fill="F9FAFB"/>
          </w:tcPr>
          <w:p>
            <w:pPr>
              <w:spacing w:after="0"/>
            </w:pPr>
            <w:r/>
            <w:r>
              <w:rPr>
                <w:rFonts w:ascii="Aptos" w:hAnsi="Aptos"/>
                <w:b w:val="0"/>
                <w:color w:val="111827"/>
                <w:sz w:val="16"/>
              </w:rPr>
              <w:t>Integrated architecture across teams, agencies and channels.</w:t>
            </w:r>
          </w:p>
        </w:tc>
      </w:tr>
      <w:tr>
        <w:tc>
          <w:tcPr>
            <w:tcW w:type="dxa" w:w="2541"/>
            <w:vAlign w:val="center"/>
          </w:tcPr>
          <w:p>
            <w:pPr>
              <w:spacing w:after="0"/>
            </w:pPr>
            <w:r/>
            <w:r>
              <w:rPr>
                <w:rFonts w:ascii="Aptos" w:hAnsi="Aptos"/>
                <w:b w:val="0"/>
                <w:color w:val="111827"/>
                <w:sz w:val="16"/>
              </w:rPr>
              <w:t>New business unit / market entry</w:t>
            </w:r>
          </w:p>
        </w:tc>
        <w:tc>
          <w:tcPr>
            <w:tcW w:type="dxa" w:w="2541"/>
            <w:vAlign w:val="center"/>
          </w:tcPr>
          <w:p>
            <w:pPr>
              <w:spacing w:after="0"/>
            </w:pPr>
            <w:r/>
            <w:r>
              <w:rPr>
                <w:rFonts w:ascii="Aptos" w:hAnsi="Aptos"/>
                <w:b w:val="0"/>
                <w:color w:val="111827"/>
                <w:sz w:val="16"/>
              </w:rPr>
              <w:t>Existing organisation is entering a new segment, geography or offer.</w:t>
            </w:r>
          </w:p>
        </w:tc>
        <w:tc>
          <w:tcPr>
            <w:tcW w:type="dxa" w:w="2541"/>
            <w:vAlign w:val="center"/>
          </w:tcPr>
          <w:p>
            <w:pPr>
              <w:spacing w:after="0"/>
            </w:pPr>
            <w:r/>
            <w:r>
              <w:rPr>
                <w:rFonts w:ascii="Aptos" w:hAnsi="Aptos"/>
                <w:b w:val="0"/>
                <w:color w:val="111827"/>
                <w:sz w:val="16"/>
              </w:rPr>
              <w:t>Launch or diversification.</w:t>
            </w:r>
          </w:p>
        </w:tc>
        <w:tc>
          <w:tcPr>
            <w:tcW w:type="dxa" w:w="2541"/>
            <w:vAlign w:val="center"/>
          </w:tcPr>
          <w:p>
            <w:pPr>
              <w:spacing w:after="0"/>
            </w:pPr>
            <w:r/>
            <w:r>
              <w:rPr>
                <w:rFonts w:ascii="Aptos" w:hAnsi="Aptos"/>
                <w:b w:val="0"/>
                <w:color w:val="111827"/>
                <w:sz w:val="16"/>
              </w:rPr>
              <w:t>ICP, positioning, readiness, demand and governance architecture.</w:t>
            </w:r>
          </w:p>
        </w:tc>
      </w:tr>
      <w:tr>
        <w:tc>
          <w:tcPr>
            <w:tcW w:type="dxa" w:w="2541"/>
            <w:vAlign w:val="center"/>
            <w:shd w:fill="F9FAFB"/>
          </w:tcPr>
          <w:p>
            <w:pPr>
              <w:spacing w:after="0"/>
            </w:pPr>
            <w:r/>
            <w:r>
              <w:rPr>
                <w:rFonts w:ascii="Aptos" w:hAnsi="Aptos"/>
                <w:b w:val="0"/>
                <w:color w:val="111827"/>
                <w:sz w:val="16"/>
              </w:rPr>
              <w:t>High-potential turnaround</w:t>
            </w:r>
          </w:p>
        </w:tc>
        <w:tc>
          <w:tcPr>
            <w:tcW w:type="dxa" w:w="2541"/>
            <w:vAlign w:val="center"/>
            <w:shd w:fill="F9FAFB"/>
          </w:tcPr>
          <w:p>
            <w:pPr>
              <w:spacing w:after="0"/>
            </w:pPr>
            <w:r/>
            <w:r>
              <w:rPr>
                <w:rFonts w:ascii="Aptos" w:hAnsi="Aptos"/>
                <w:b w:val="0"/>
                <w:color w:val="111827"/>
                <w:sz w:val="16"/>
              </w:rPr>
              <w:t>The business has assets and market relevance but inconsistent growth.</w:t>
            </w:r>
          </w:p>
        </w:tc>
        <w:tc>
          <w:tcPr>
            <w:tcW w:type="dxa" w:w="2541"/>
            <w:vAlign w:val="center"/>
            <w:shd w:fill="F9FAFB"/>
          </w:tcPr>
          <w:p>
            <w:pPr>
              <w:spacing w:after="0"/>
            </w:pPr>
            <w:r/>
            <w:r>
              <w:rPr>
                <w:rFonts w:ascii="Aptos" w:hAnsi="Aptos"/>
                <w:b w:val="0"/>
                <w:color w:val="111827"/>
                <w:sz w:val="16"/>
              </w:rPr>
              <w:t>Falling conversion, weak pipeline or strategic drift.</w:t>
            </w:r>
          </w:p>
        </w:tc>
        <w:tc>
          <w:tcPr>
            <w:tcW w:type="dxa" w:w="2541"/>
            <w:vAlign w:val="center"/>
            <w:shd w:fill="F9FAFB"/>
          </w:tcPr>
          <w:p>
            <w:pPr>
              <w:spacing w:after="0"/>
            </w:pPr>
            <w:r/>
            <w:r>
              <w:rPr>
                <w:rFonts w:ascii="Aptos" w:hAnsi="Aptos"/>
                <w:b w:val="0"/>
                <w:color w:val="111827"/>
                <w:sz w:val="16"/>
              </w:rPr>
              <w:t>Prioritised interventions tied to measurable outcomes.</w:t>
            </w:r>
          </w:p>
        </w:tc>
      </w:tr>
    </w:tbl>
    <w:p>
      <w:pPr>
        <w:spacing w:after="0"/>
      </w:pPr>
    </w:p>
    <w:p>
      <w:pPr>
        <w:pStyle w:val="Heading2"/>
      </w:pPr>
      <w:r>
        <w:t>Qualification Criteria</w:t>
      </w:r>
    </w:p>
    <w:p>
      <w:pPr>
        <w:pStyle w:val="ListBullet"/>
        <w:spacing w:after="30"/>
      </w:pPr>
      <w:r>
        <w:t>Leadership has a defined next-level ambition.</w:t>
      </w:r>
    </w:p>
    <w:p>
      <w:pPr>
        <w:pStyle w:val="ListBullet"/>
        <w:spacing w:after="30"/>
      </w:pPr>
      <w:r>
        <w:t>There is a credible product/service and evidence of market relevance.</w:t>
      </w:r>
    </w:p>
    <w:p>
      <w:pPr>
        <w:pStyle w:val="ListBullet"/>
        <w:spacing w:after="30"/>
      </w:pPr>
      <w:r>
        <w:t>The client can provide data, access and decision-maker participation.</w:t>
      </w:r>
    </w:p>
    <w:p>
      <w:pPr>
        <w:pStyle w:val="ListBullet"/>
        <w:spacing w:after="30"/>
      </w:pPr>
      <w:r>
        <w:t>There is willingness to change systems, positioning or processes where the diagnosis requires it.</w:t>
      </w:r>
    </w:p>
    <w:p>
      <w:pPr>
        <w:pStyle w:val="ListBullet"/>
        <w:spacing w:after="30"/>
      </w:pPr>
      <w:r>
        <w:t>The client has resources to activate the architecture internally or through approved specialists.</w:t>
      </w:r>
    </w:p>
    <w:p>
      <w:pPr>
        <w:pStyle w:val="ListBullet"/>
        <w:spacing w:after="30"/>
      </w:pPr>
      <w:r>
        <w:t>Leadership values measurable business outcomes over vanity metrics.</w:t>
      </w:r>
    </w:p>
    <w:p>
      <w:pPr>
        <w:pStyle w:val="Heading2"/>
      </w:pPr>
      <w:r>
        <w:t>Poor-Fit Signals</w:t>
      </w:r>
    </w:p>
    <w:p>
      <w:pPr>
        <w:pStyle w:val="ListBullet"/>
        <w:spacing w:after="30"/>
      </w:pPr>
      <w:r>
        <w:t>Wants only posts, ads, followers or a one-off campaign.</w:t>
      </w:r>
    </w:p>
    <w:p>
      <w:pPr>
        <w:pStyle w:val="ListBullet"/>
        <w:spacing w:after="30"/>
      </w:pPr>
      <w:r>
        <w:t>Expects guaranteed revenue without addressing offer, sales, operational or market constraints.</w:t>
      </w:r>
    </w:p>
    <w:p>
      <w:pPr>
        <w:pStyle w:val="ListBullet"/>
        <w:spacing w:after="30"/>
      </w:pPr>
      <w:r>
        <w:t>Has no clear product/service readiness or cannot fulfil demand.</w:t>
      </w:r>
    </w:p>
    <w:p>
      <w:pPr>
        <w:pStyle w:val="ListBullet"/>
        <w:spacing w:after="30"/>
      </w:pPr>
      <w:r>
        <w:t>Will not provide data, access or timely decisions.</w:t>
      </w:r>
    </w:p>
    <w:p>
      <w:pPr>
        <w:pStyle w:val="ListBullet"/>
        <w:spacing w:after="30"/>
      </w:pPr>
      <w:r>
        <w:t>Wants Level141 to act as an unstructured execution agency.</w:t>
      </w:r>
    </w:p>
    <w:p>
      <w:pPr>
        <w:pStyle w:val="ListBullet"/>
        <w:spacing w:after="30"/>
      </w:pPr>
      <w:r>
        <w:t>Seeks artificial reviews, misleading claims or fabricated authority.</w:t>
      </w:r>
    </w:p>
    <w:p>
      <w:pPr>
        <w:pStyle w:val="Heading1"/>
      </w:pPr>
      <w:r>
        <w:t>5. Trigger Events: When a Company Needs Growth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Trigger</w:t>
            </w:r>
          </w:p>
        </w:tc>
        <w:tc>
          <w:tcPr>
            <w:tcW w:type="dxa" w:w="5083"/>
            <w:shd w:fill="111827"/>
            <w:vAlign w:val="center"/>
          </w:tcPr>
          <w:p>
            <w:pPr>
              <w:spacing w:after="0"/>
            </w:pPr>
            <w:r/>
            <w:r>
              <w:rPr>
                <w:rFonts w:ascii="Aptos" w:hAnsi="Aptos"/>
                <w:b/>
                <w:color w:val="FFFFFF"/>
                <w:sz w:val="16"/>
              </w:rPr>
              <w:t>Why architecture is required</w:t>
            </w:r>
          </w:p>
        </w:tc>
      </w:tr>
      <w:tr>
        <w:tc>
          <w:tcPr>
            <w:tcW w:type="dxa" w:w="5083"/>
            <w:vAlign w:val="center"/>
          </w:tcPr>
          <w:p>
            <w:pPr>
              <w:spacing w:after="0"/>
            </w:pPr>
            <w:r/>
            <w:r>
              <w:rPr>
                <w:rFonts w:ascii="Aptos" w:hAnsi="Aptos"/>
                <w:b w:val="0"/>
                <w:color w:val="111827"/>
                <w:sz w:val="16"/>
              </w:rPr>
              <w:t>Revenue plateau</w:t>
            </w:r>
          </w:p>
        </w:tc>
        <w:tc>
          <w:tcPr>
            <w:tcW w:type="dxa" w:w="5083"/>
            <w:vAlign w:val="center"/>
          </w:tcPr>
          <w:p>
            <w:pPr>
              <w:spacing w:after="0"/>
            </w:pPr>
            <w:r/>
            <w:r>
              <w:rPr>
                <w:rFonts w:ascii="Aptos" w:hAnsi="Aptos"/>
                <w:b w:val="0"/>
                <w:color w:val="111827"/>
                <w:sz w:val="16"/>
              </w:rPr>
              <w:t>More of the same activity is no longer producing proportional growth.</w:t>
            </w:r>
          </w:p>
        </w:tc>
      </w:tr>
      <w:tr>
        <w:tc>
          <w:tcPr>
            <w:tcW w:type="dxa" w:w="5083"/>
            <w:vAlign w:val="center"/>
            <w:shd w:fill="F9FAFB"/>
          </w:tcPr>
          <w:p>
            <w:pPr>
              <w:spacing w:after="0"/>
            </w:pPr>
            <w:r/>
            <w:r>
              <w:rPr>
                <w:rFonts w:ascii="Aptos" w:hAnsi="Aptos"/>
                <w:b w:val="0"/>
                <w:color w:val="111827"/>
                <w:sz w:val="16"/>
              </w:rPr>
              <w:t>New market/geography</w:t>
            </w:r>
          </w:p>
        </w:tc>
        <w:tc>
          <w:tcPr>
            <w:tcW w:type="dxa" w:w="5083"/>
            <w:vAlign w:val="center"/>
            <w:shd w:fill="F9FAFB"/>
          </w:tcPr>
          <w:p>
            <w:pPr>
              <w:spacing w:after="0"/>
            </w:pPr>
            <w:r/>
            <w:r>
              <w:rPr>
                <w:rFonts w:ascii="Aptos" w:hAnsi="Aptos"/>
                <w:b w:val="0"/>
                <w:color w:val="111827"/>
                <w:sz w:val="16"/>
              </w:rPr>
              <w:t>The company must redefine audience, positioning, channels, trust and conversion for a new context.</w:t>
            </w:r>
          </w:p>
        </w:tc>
      </w:tr>
      <w:tr>
        <w:tc>
          <w:tcPr>
            <w:tcW w:type="dxa" w:w="5083"/>
            <w:vAlign w:val="center"/>
          </w:tcPr>
          <w:p>
            <w:pPr>
              <w:spacing w:after="0"/>
            </w:pPr>
            <w:r/>
            <w:r>
              <w:rPr>
                <w:rFonts w:ascii="Aptos" w:hAnsi="Aptos"/>
                <w:b w:val="0"/>
                <w:color w:val="111827"/>
                <w:sz w:val="16"/>
              </w:rPr>
              <w:t>New product/category</w:t>
            </w:r>
          </w:p>
        </w:tc>
        <w:tc>
          <w:tcPr>
            <w:tcW w:type="dxa" w:w="5083"/>
            <w:vAlign w:val="center"/>
          </w:tcPr>
          <w:p>
            <w:pPr>
              <w:spacing w:after="0"/>
            </w:pPr>
            <w:r/>
            <w:r>
              <w:rPr>
                <w:rFonts w:ascii="Aptos" w:hAnsi="Aptos"/>
                <w:b w:val="0"/>
                <w:color w:val="111827"/>
                <w:sz w:val="16"/>
              </w:rPr>
              <w:t>The market needs to understand why the offer matters and why this company should win.</w:t>
            </w:r>
          </w:p>
        </w:tc>
      </w:tr>
      <w:tr>
        <w:tc>
          <w:tcPr>
            <w:tcW w:type="dxa" w:w="5083"/>
            <w:vAlign w:val="center"/>
            <w:shd w:fill="F9FAFB"/>
          </w:tcPr>
          <w:p>
            <w:pPr>
              <w:spacing w:after="0"/>
            </w:pPr>
            <w:r/>
            <w:r>
              <w:rPr>
                <w:rFonts w:ascii="Aptos" w:hAnsi="Aptos"/>
                <w:b w:val="0"/>
                <w:color w:val="111827"/>
                <w:sz w:val="16"/>
              </w:rPr>
              <w:t>Post-investment scale</w:t>
            </w:r>
          </w:p>
        </w:tc>
        <w:tc>
          <w:tcPr>
            <w:tcW w:type="dxa" w:w="5083"/>
            <w:vAlign w:val="center"/>
            <w:shd w:fill="F9FAFB"/>
          </w:tcPr>
          <w:p>
            <w:pPr>
              <w:spacing w:after="0"/>
            </w:pPr>
            <w:r/>
            <w:r>
              <w:rPr>
                <w:rFonts w:ascii="Aptos" w:hAnsi="Aptos"/>
                <w:b w:val="0"/>
                <w:color w:val="111827"/>
                <w:sz w:val="16"/>
              </w:rPr>
              <w:t>Capital needs to be converted into a governed value-creation roadmap.</w:t>
            </w:r>
          </w:p>
        </w:tc>
      </w:tr>
      <w:tr>
        <w:tc>
          <w:tcPr>
            <w:tcW w:type="dxa" w:w="5083"/>
            <w:vAlign w:val="center"/>
          </w:tcPr>
          <w:p>
            <w:pPr>
              <w:spacing w:after="0"/>
            </w:pPr>
            <w:r/>
            <w:r>
              <w:rPr>
                <w:rFonts w:ascii="Aptos" w:hAnsi="Aptos"/>
                <w:b w:val="0"/>
                <w:color w:val="111827"/>
                <w:sz w:val="16"/>
              </w:rPr>
              <w:t>High marketing spend / low ROI</w:t>
            </w:r>
          </w:p>
        </w:tc>
        <w:tc>
          <w:tcPr>
            <w:tcW w:type="dxa" w:w="5083"/>
            <w:vAlign w:val="center"/>
          </w:tcPr>
          <w:p>
            <w:pPr>
              <w:spacing w:after="0"/>
            </w:pPr>
            <w:r/>
            <w:r>
              <w:rPr>
                <w:rFonts w:ascii="Aptos" w:hAnsi="Aptos"/>
                <w:b w:val="0"/>
                <w:color w:val="111827"/>
                <w:sz w:val="16"/>
              </w:rPr>
              <w:t>The system must be diagnosed before increasing spend.</w:t>
            </w:r>
          </w:p>
        </w:tc>
      </w:tr>
      <w:tr>
        <w:tc>
          <w:tcPr>
            <w:tcW w:type="dxa" w:w="5083"/>
            <w:vAlign w:val="center"/>
            <w:shd w:fill="F9FAFB"/>
          </w:tcPr>
          <w:p>
            <w:pPr>
              <w:spacing w:after="0"/>
            </w:pPr>
            <w:r/>
            <w:r>
              <w:rPr>
                <w:rFonts w:ascii="Aptos" w:hAnsi="Aptos"/>
                <w:b w:val="0"/>
                <w:color w:val="111827"/>
                <w:sz w:val="16"/>
              </w:rPr>
              <w:t>Sales and marketing disconnect</w:t>
            </w:r>
          </w:p>
        </w:tc>
        <w:tc>
          <w:tcPr>
            <w:tcW w:type="dxa" w:w="5083"/>
            <w:vAlign w:val="center"/>
            <w:shd w:fill="F9FAFB"/>
          </w:tcPr>
          <w:p>
            <w:pPr>
              <w:spacing w:after="0"/>
            </w:pPr>
            <w:r/>
            <w:r>
              <w:rPr>
                <w:rFonts w:ascii="Aptos" w:hAnsi="Aptos"/>
                <w:b w:val="0"/>
                <w:color w:val="111827"/>
                <w:sz w:val="16"/>
              </w:rPr>
              <w:t>Demand, qualification, nurture, handoff and feedback loops require one architecture.</w:t>
            </w:r>
          </w:p>
        </w:tc>
      </w:tr>
      <w:tr>
        <w:tc>
          <w:tcPr>
            <w:tcW w:type="dxa" w:w="5083"/>
            <w:vAlign w:val="center"/>
          </w:tcPr>
          <w:p>
            <w:pPr>
              <w:spacing w:after="0"/>
            </w:pPr>
            <w:r/>
            <w:r>
              <w:rPr>
                <w:rFonts w:ascii="Aptos" w:hAnsi="Aptos"/>
                <w:b w:val="0"/>
                <w:color w:val="111827"/>
                <w:sz w:val="16"/>
              </w:rPr>
              <w:t>Rebrand / repositioning</w:t>
            </w:r>
          </w:p>
        </w:tc>
        <w:tc>
          <w:tcPr>
            <w:tcW w:type="dxa" w:w="5083"/>
            <w:vAlign w:val="center"/>
          </w:tcPr>
          <w:p>
            <w:pPr>
              <w:spacing w:after="0"/>
            </w:pPr>
            <w:r/>
            <w:r>
              <w:rPr>
                <w:rFonts w:ascii="Aptos" w:hAnsi="Aptos"/>
                <w:b w:val="0"/>
                <w:color w:val="111827"/>
                <w:sz w:val="16"/>
              </w:rPr>
              <w:t>Identity changes must connect to market, customer, conversion and growth outcomes.</w:t>
            </w:r>
          </w:p>
        </w:tc>
      </w:tr>
      <w:tr>
        <w:tc>
          <w:tcPr>
            <w:tcW w:type="dxa" w:w="5083"/>
            <w:vAlign w:val="center"/>
            <w:shd w:fill="F9FAFB"/>
          </w:tcPr>
          <w:p>
            <w:pPr>
              <w:spacing w:after="0"/>
            </w:pPr>
            <w:r/>
            <w:r>
              <w:rPr>
                <w:rFonts w:ascii="Aptos" w:hAnsi="Aptos"/>
                <w:b w:val="0"/>
                <w:color w:val="111827"/>
                <w:sz w:val="16"/>
              </w:rPr>
              <w:t>Agency proliferation</w:t>
            </w:r>
          </w:p>
        </w:tc>
        <w:tc>
          <w:tcPr>
            <w:tcW w:type="dxa" w:w="5083"/>
            <w:vAlign w:val="center"/>
            <w:shd w:fill="F9FAFB"/>
          </w:tcPr>
          <w:p>
            <w:pPr>
              <w:spacing w:after="0"/>
            </w:pPr>
            <w:r/>
            <w:r>
              <w:rPr>
                <w:rFonts w:ascii="Aptos" w:hAnsi="Aptos"/>
                <w:b w:val="0"/>
                <w:color w:val="111827"/>
                <w:sz w:val="16"/>
              </w:rPr>
              <w:t>Execution needs one strategic source of truth and governance layer.</w:t>
            </w:r>
          </w:p>
        </w:tc>
      </w:tr>
      <w:tr>
        <w:tc>
          <w:tcPr>
            <w:tcW w:type="dxa" w:w="5083"/>
            <w:vAlign w:val="center"/>
          </w:tcPr>
          <w:p>
            <w:pPr>
              <w:spacing w:after="0"/>
            </w:pPr>
            <w:r/>
            <w:r>
              <w:rPr>
                <w:rFonts w:ascii="Aptos" w:hAnsi="Aptos"/>
                <w:b w:val="0"/>
                <w:color w:val="111827"/>
                <w:sz w:val="16"/>
              </w:rPr>
              <w:t>Founder-led selling ceiling</w:t>
            </w:r>
          </w:p>
        </w:tc>
        <w:tc>
          <w:tcPr>
            <w:tcW w:type="dxa" w:w="5083"/>
            <w:vAlign w:val="center"/>
          </w:tcPr>
          <w:p>
            <w:pPr>
              <w:spacing w:after="0"/>
            </w:pPr>
            <w:r/>
            <w:r>
              <w:rPr>
                <w:rFonts w:ascii="Aptos" w:hAnsi="Aptos"/>
                <w:b w:val="0"/>
                <w:color w:val="111827"/>
                <w:sz w:val="16"/>
              </w:rPr>
              <w:t>Institutional trust, demand and conversion systems must reduce dependence on the founder.</w:t>
            </w:r>
          </w:p>
        </w:tc>
      </w:tr>
      <w:tr>
        <w:tc>
          <w:tcPr>
            <w:tcW w:type="dxa" w:w="5083"/>
            <w:vAlign w:val="center"/>
            <w:shd w:fill="F9FAFB"/>
          </w:tcPr>
          <w:p>
            <w:pPr>
              <w:spacing w:after="0"/>
            </w:pPr>
            <w:r/>
            <w:r>
              <w:rPr>
                <w:rFonts w:ascii="Aptos" w:hAnsi="Aptos"/>
                <w:b w:val="0"/>
                <w:color w:val="111827"/>
                <w:sz w:val="16"/>
              </w:rPr>
              <w:t>Competitive disruption</w:t>
            </w:r>
          </w:p>
        </w:tc>
        <w:tc>
          <w:tcPr>
            <w:tcW w:type="dxa" w:w="5083"/>
            <w:vAlign w:val="center"/>
            <w:shd w:fill="F9FAFB"/>
          </w:tcPr>
          <w:p>
            <w:pPr>
              <w:spacing w:after="0"/>
            </w:pPr>
            <w:r/>
            <w:r>
              <w:rPr>
                <w:rFonts w:ascii="Aptos" w:hAnsi="Aptos"/>
                <w:b w:val="0"/>
                <w:color w:val="111827"/>
                <w:sz w:val="16"/>
              </w:rPr>
              <w:t>The company must rebuild relevance, authority and demand in a changing market.</w:t>
            </w:r>
          </w:p>
        </w:tc>
      </w:tr>
    </w:tbl>
    <w:p>
      <w:pPr>
        <w:spacing w:after="0"/>
      </w:pPr>
    </w:p>
    <w:p>
      <w:pPr>
        <w:pStyle w:val="Heading1"/>
      </w:pPr>
      <w:r>
        <w:t>6. Product-Market Fit &amp; Competitive Positioning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Pr>
          <w:p>
            <w:pPr>
              <w:spacing w:after="0"/>
            </w:pPr>
            <w:r/>
            <w:r>
              <w:rPr>
                <w:rFonts w:ascii="Aptos" w:hAnsi="Aptos"/>
                <w:b/>
                <w:color w:val="FFFFFF"/>
                <w:sz w:val="16"/>
              </w:rPr>
              <w:t>Alternative</w:t>
            </w:r>
          </w:p>
        </w:tc>
        <w:tc>
          <w:tcPr>
            <w:tcW w:type="dxa" w:w="2541"/>
            <w:shd w:fill="111827"/>
            <w:vAlign w:val="center"/>
          </w:tcPr>
          <w:p>
            <w:pPr>
              <w:spacing w:after="0"/>
            </w:pPr>
            <w:r/>
            <w:r>
              <w:rPr>
                <w:rFonts w:ascii="Aptos" w:hAnsi="Aptos"/>
                <w:b/>
                <w:color w:val="FFFFFF"/>
                <w:sz w:val="16"/>
              </w:rPr>
              <w:t>What it typically does well</w:t>
            </w:r>
          </w:p>
        </w:tc>
        <w:tc>
          <w:tcPr>
            <w:tcW w:type="dxa" w:w="2541"/>
            <w:shd w:fill="111827"/>
            <w:vAlign w:val="center"/>
          </w:tcPr>
          <w:p>
            <w:pPr>
              <w:spacing w:after="0"/>
            </w:pPr>
            <w:r/>
            <w:r>
              <w:rPr>
                <w:rFonts w:ascii="Aptos" w:hAnsi="Aptos"/>
                <w:b/>
                <w:color w:val="FFFFFF"/>
                <w:sz w:val="16"/>
              </w:rPr>
              <w:t>Typical limitation</w:t>
            </w:r>
          </w:p>
        </w:tc>
        <w:tc>
          <w:tcPr>
            <w:tcW w:type="dxa" w:w="2541"/>
            <w:shd w:fill="111827"/>
            <w:vAlign w:val="center"/>
          </w:tcPr>
          <w:p>
            <w:pPr>
              <w:spacing w:after="0"/>
            </w:pPr>
            <w:r/>
            <w:r>
              <w:rPr>
                <w:rFonts w:ascii="Aptos" w:hAnsi="Aptos"/>
                <w:b/>
                <w:color w:val="FFFFFF"/>
                <w:sz w:val="16"/>
              </w:rPr>
              <w:t>Level141 role</w:t>
            </w:r>
          </w:p>
        </w:tc>
      </w:tr>
      <w:tr>
        <w:tc>
          <w:tcPr>
            <w:tcW w:type="dxa" w:w="2541"/>
            <w:vAlign w:val="center"/>
          </w:tcPr>
          <w:p>
            <w:pPr>
              <w:spacing w:after="0"/>
            </w:pPr>
            <w:r/>
            <w:r>
              <w:rPr>
                <w:rFonts w:ascii="Aptos" w:hAnsi="Aptos"/>
                <w:b w:val="0"/>
                <w:color w:val="111827"/>
                <w:sz w:val="16"/>
              </w:rPr>
              <w:t>Marketing agency</w:t>
            </w:r>
          </w:p>
        </w:tc>
        <w:tc>
          <w:tcPr>
            <w:tcW w:type="dxa" w:w="2541"/>
            <w:vAlign w:val="center"/>
          </w:tcPr>
          <w:p>
            <w:pPr>
              <w:spacing w:after="0"/>
            </w:pPr>
            <w:r/>
            <w:r>
              <w:rPr>
                <w:rFonts w:ascii="Aptos" w:hAnsi="Aptos"/>
                <w:b w:val="0"/>
                <w:color w:val="111827"/>
                <w:sz w:val="16"/>
              </w:rPr>
              <w:t>Campaign and channel execution.</w:t>
            </w:r>
          </w:p>
        </w:tc>
        <w:tc>
          <w:tcPr>
            <w:tcW w:type="dxa" w:w="2541"/>
            <w:vAlign w:val="center"/>
          </w:tcPr>
          <w:p>
            <w:pPr>
              <w:spacing w:after="0"/>
            </w:pPr>
            <w:r/>
            <w:r>
              <w:rPr>
                <w:rFonts w:ascii="Aptos" w:hAnsi="Aptos"/>
                <w:b w:val="0"/>
                <w:color w:val="111827"/>
                <w:sz w:val="16"/>
              </w:rPr>
              <w:t>Can optimise activity without redesigning the whole growth system.</w:t>
            </w:r>
          </w:p>
        </w:tc>
        <w:tc>
          <w:tcPr>
            <w:tcW w:type="dxa" w:w="2541"/>
            <w:vAlign w:val="center"/>
          </w:tcPr>
          <w:p>
            <w:pPr>
              <w:spacing w:after="0"/>
            </w:pPr>
            <w:r/>
            <w:r>
              <w:rPr>
                <w:rFonts w:ascii="Aptos" w:hAnsi="Aptos"/>
                <w:b w:val="0"/>
                <w:color w:val="111827"/>
                <w:sz w:val="16"/>
              </w:rPr>
              <w:t>Architect the system and govern execution against business outcomes.</w:t>
            </w:r>
          </w:p>
        </w:tc>
      </w:tr>
      <w:tr>
        <w:tc>
          <w:tcPr>
            <w:tcW w:type="dxa" w:w="2541"/>
            <w:vAlign w:val="center"/>
            <w:shd w:fill="F9FAFB"/>
          </w:tcPr>
          <w:p>
            <w:pPr>
              <w:spacing w:after="0"/>
            </w:pPr>
            <w:r/>
            <w:r>
              <w:rPr>
                <w:rFonts w:ascii="Aptos" w:hAnsi="Aptos"/>
                <w:b w:val="0"/>
                <w:color w:val="111827"/>
                <w:sz w:val="16"/>
              </w:rPr>
              <w:t>Branding agency</w:t>
            </w:r>
          </w:p>
        </w:tc>
        <w:tc>
          <w:tcPr>
            <w:tcW w:type="dxa" w:w="2541"/>
            <w:vAlign w:val="center"/>
            <w:shd w:fill="F9FAFB"/>
          </w:tcPr>
          <w:p>
            <w:pPr>
              <w:spacing w:after="0"/>
            </w:pPr>
            <w:r/>
            <w:r>
              <w:rPr>
                <w:rFonts w:ascii="Aptos" w:hAnsi="Aptos"/>
                <w:b w:val="0"/>
                <w:color w:val="111827"/>
                <w:sz w:val="16"/>
              </w:rPr>
              <w:t>Identity, creative and brand expression.</w:t>
            </w:r>
          </w:p>
        </w:tc>
        <w:tc>
          <w:tcPr>
            <w:tcW w:type="dxa" w:w="2541"/>
            <w:vAlign w:val="center"/>
            <w:shd w:fill="F9FAFB"/>
          </w:tcPr>
          <w:p>
            <w:pPr>
              <w:spacing w:after="0"/>
            </w:pPr>
            <w:r/>
            <w:r>
              <w:rPr>
                <w:rFonts w:ascii="Aptos" w:hAnsi="Aptos"/>
                <w:b w:val="0"/>
                <w:color w:val="111827"/>
                <w:sz w:val="16"/>
              </w:rPr>
              <w:t>May stop before conversion, demand, sales integration and scale.</w:t>
            </w:r>
          </w:p>
        </w:tc>
        <w:tc>
          <w:tcPr>
            <w:tcW w:type="dxa" w:w="2541"/>
            <w:vAlign w:val="center"/>
            <w:shd w:fill="F9FAFB"/>
          </w:tcPr>
          <w:p>
            <w:pPr>
              <w:spacing w:after="0"/>
            </w:pPr>
            <w:r/>
            <w:r>
              <w:rPr>
                <w:rFonts w:ascii="Aptos" w:hAnsi="Aptos"/>
                <w:b w:val="0"/>
                <w:color w:val="111827"/>
                <w:sz w:val="16"/>
              </w:rPr>
              <w:t>Connect brand to the complete growth architecture.</w:t>
            </w:r>
          </w:p>
        </w:tc>
      </w:tr>
      <w:tr>
        <w:tc>
          <w:tcPr>
            <w:tcW w:type="dxa" w:w="2541"/>
            <w:vAlign w:val="center"/>
          </w:tcPr>
          <w:p>
            <w:pPr>
              <w:spacing w:after="0"/>
            </w:pPr>
            <w:r/>
            <w:r>
              <w:rPr>
                <w:rFonts w:ascii="Aptos" w:hAnsi="Aptos"/>
                <w:b w:val="0"/>
                <w:color w:val="111827"/>
                <w:sz w:val="16"/>
              </w:rPr>
              <w:t>Management consultant</w:t>
            </w:r>
          </w:p>
        </w:tc>
        <w:tc>
          <w:tcPr>
            <w:tcW w:type="dxa" w:w="2541"/>
            <w:vAlign w:val="center"/>
          </w:tcPr>
          <w:p>
            <w:pPr>
              <w:spacing w:after="0"/>
            </w:pPr>
            <w:r/>
            <w:r>
              <w:rPr>
                <w:rFonts w:ascii="Aptos" w:hAnsi="Aptos"/>
                <w:b w:val="0"/>
                <w:color w:val="111827"/>
                <w:sz w:val="16"/>
              </w:rPr>
              <w:t>Strategic diagnosis and recommendations.</w:t>
            </w:r>
          </w:p>
        </w:tc>
        <w:tc>
          <w:tcPr>
            <w:tcW w:type="dxa" w:w="2541"/>
            <w:vAlign w:val="center"/>
          </w:tcPr>
          <w:p>
            <w:pPr>
              <w:spacing w:after="0"/>
            </w:pPr>
            <w:r/>
            <w:r>
              <w:rPr>
                <w:rFonts w:ascii="Aptos" w:hAnsi="Aptos"/>
                <w:b w:val="0"/>
                <w:color w:val="111827"/>
                <w:sz w:val="16"/>
              </w:rPr>
              <w:t>May remain high-level or separate from market activation.</w:t>
            </w:r>
          </w:p>
        </w:tc>
        <w:tc>
          <w:tcPr>
            <w:tcW w:type="dxa" w:w="2541"/>
            <w:vAlign w:val="center"/>
          </w:tcPr>
          <w:p>
            <w:pPr>
              <w:spacing w:after="0"/>
            </w:pPr>
            <w:r/>
            <w:r>
              <w:rPr>
                <w:rFonts w:ascii="Aptos" w:hAnsi="Aptos"/>
                <w:b w:val="0"/>
                <w:color w:val="111827"/>
                <w:sz w:val="16"/>
              </w:rPr>
              <w:t>Translate diagnosis into an operating growth architecture and governance model.</w:t>
            </w:r>
          </w:p>
        </w:tc>
      </w:tr>
      <w:tr>
        <w:tc>
          <w:tcPr>
            <w:tcW w:type="dxa" w:w="2541"/>
            <w:vAlign w:val="center"/>
            <w:shd w:fill="F9FAFB"/>
          </w:tcPr>
          <w:p>
            <w:pPr>
              <w:spacing w:after="0"/>
            </w:pPr>
            <w:r/>
            <w:r>
              <w:rPr>
                <w:rFonts w:ascii="Aptos" w:hAnsi="Aptos"/>
                <w:b w:val="0"/>
                <w:color w:val="111827"/>
                <w:sz w:val="16"/>
              </w:rPr>
              <w:t>Fractional CMO</w:t>
            </w:r>
          </w:p>
        </w:tc>
        <w:tc>
          <w:tcPr>
            <w:tcW w:type="dxa" w:w="2541"/>
            <w:vAlign w:val="center"/>
            <w:shd w:fill="F9FAFB"/>
          </w:tcPr>
          <w:p>
            <w:pPr>
              <w:spacing w:after="0"/>
            </w:pPr>
            <w:r/>
            <w:r>
              <w:rPr>
                <w:rFonts w:ascii="Aptos" w:hAnsi="Aptos"/>
                <w:b w:val="0"/>
                <w:color w:val="111827"/>
                <w:sz w:val="16"/>
              </w:rPr>
              <w:t>Senior marketing leadership.</w:t>
            </w:r>
          </w:p>
        </w:tc>
        <w:tc>
          <w:tcPr>
            <w:tcW w:type="dxa" w:w="2541"/>
            <w:vAlign w:val="center"/>
            <w:shd w:fill="F9FAFB"/>
          </w:tcPr>
          <w:p>
            <w:pPr>
              <w:spacing w:after="0"/>
            </w:pPr>
            <w:r/>
            <w:r>
              <w:rPr>
                <w:rFonts w:ascii="Aptos" w:hAnsi="Aptos"/>
                <w:b w:val="0"/>
                <w:color w:val="111827"/>
                <w:sz w:val="16"/>
              </w:rPr>
              <w:t>Often marketing-centric and dependent on individual scope.</w:t>
            </w:r>
          </w:p>
        </w:tc>
        <w:tc>
          <w:tcPr>
            <w:tcW w:type="dxa" w:w="2541"/>
            <w:vAlign w:val="center"/>
            <w:shd w:fill="F9FAFB"/>
          </w:tcPr>
          <w:p>
            <w:pPr>
              <w:spacing w:after="0"/>
            </w:pPr>
            <w:r/>
            <w:r>
              <w:rPr>
                <w:rFonts w:ascii="Aptos" w:hAnsi="Aptos"/>
                <w:b w:val="0"/>
                <w:color w:val="111827"/>
                <w:sz w:val="16"/>
              </w:rPr>
              <w:t>Integrate broader growth levers and create a transferable architecture.</w:t>
            </w:r>
          </w:p>
        </w:tc>
      </w:tr>
      <w:tr>
        <w:tc>
          <w:tcPr>
            <w:tcW w:type="dxa" w:w="2541"/>
            <w:vAlign w:val="center"/>
          </w:tcPr>
          <w:p>
            <w:pPr>
              <w:spacing w:after="0"/>
            </w:pPr>
            <w:r/>
            <w:r>
              <w:rPr>
                <w:rFonts w:ascii="Aptos" w:hAnsi="Aptos"/>
                <w:b w:val="0"/>
                <w:color w:val="111827"/>
                <w:sz w:val="16"/>
              </w:rPr>
              <w:t>Performance agency</w:t>
            </w:r>
          </w:p>
        </w:tc>
        <w:tc>
          <w:tcPr>
            <w:tcW w:type="dxa" w:w="2541"/>
            <w:vAlign w:val="center"/>
          </w:tcPr>
          <w:p>
            <w:pPr>
              <w:spacing w:after="0"/>
            </w:pPr>
            <w:r/>
            <w:r>
              <w:rPr>
                <w:rFonts w:ascii="Aptos" w:hAnsi="Aptos"/>
                <w:b w:val="0"/>
                <w:color w:val="111827"/>
                <w:sz w:val="16"/>
              </w:rPr>
              <w:t>Paid acquisition and measurable media.</w:t>
            </w:r>
          </w:p>
        </w:tc>
        <w:tc>
          <w:tcPr>
            <w:tcW w:type="dxa" w:w="2541"/>
            <w:vAlign w:val="center"/>
          </w:tcPr>
          <w:p>
            <w:pPr>
              <w:spacing w:after="0"/>
            </w:pPr>
            <w:r/>
            <w:r>
              <w:rPr>
                <w:rFonts w:ascii="Aptos" w:hAnsi="Aptos"/>
                <w:b w:val="0"/>
                <w:color w:val="111827"/>
                <w:sz w:val="16"/>
              </w:rPr>
              <w:t>Can scale spend before fixing positioning, trust, nurture or conversion.</w:t>
            </w:r>
          </w:p>
        </w:tc>
        <w:tc>
          <w:tcPr>
            <w:tcW w:type="dxa" w:w="2541"/>
            <w:vAlign w:val="center"/>
          </w:tcPr>
          <w:p>
            <w:pPr>
              <w:spacing w:after="0"/>
            </w:pPr>
            <w:r/>
            <w:r>
              <w:rPr>
                <w:rFonts w:ascii="Aptos" w:hAnsi="Aptos"/>
                <w:b w:val="0"/>
                <w:color w:val="111827"/>
                <w:sz w:val="16"/>
              </w:rPr>
              <w:t>Fix system readiness and determine where paid demand fits.</w:t>
            </w:r>
          </w:p>
        </w:tc>
      </w:tr>
      <w:tr>
        <w:tc>
          <w:tcPr>
            <w:tcW w:type="dxa" w:w="2541"/>
            <w:vAlign w:val="center"/>
            <w:shd w:fill="F9FAFB"/>
          </w:tcPr>
          <w:p>
            <w:pPr>
              <w:spacing w:after="0"/>
            </w:pPr>
            <w:r/>
            <w:r>
              <w:rPr>
                <w:rFonts w:ascii="Aptos" w:hAnsi="Aptos"/>
                <w:b w:val="0"/>
                <w:color w:val="111827"/>
                <w:sz w:val="16"/>
              </w:rPr>
              <w:t>Internal marketing team</w:t>
            </w:r>
          </w:p>
        </w:tc>
        <w:tc>
          <w:tcPr>
            <w:tcW w:type="dxa" w:w="2541"/>
            <w:vAlign w:val="center"/>
            <w:shd w:fill="F9FAFB"/>
          </w:tcPr>
          <w:p>
            <w:pPr>
              <w:spacing w:after="0"/>
            </w:pPr>
            <w:r/>
            <w:r>
              <w:rPr>
                <w:rFonts w:ascii="Aptos" w:hAnsi="Aptos"/>
                <w:b w:val="0"/>
                <w:color w:val="111827"/>
                <w:sz w:val="16"/>
              </w:rPr>
              <w:t>Deep company knowledge and daily execution.</w:t>
            </w:r>
          </w:p>
        </w:tc>
        <w:tc>
          <w:tcPr>
            <w:tcW w:type="dxa" w:w="2541"/>
            <w:vAlign w:val="center"/>
            <w:shd w:fill="F9FAFB"/>
          </w:tcPr>
          <w:p>
            <w:pPr>
              <w:spacing w:after="0"/>
            </w:pPr>
            <w:r/>
            <w:r>
              <w:rPr>
                <w:rFonts w:ascii="Aptos" w:hAnsi="Aptos"/>
                <w:b w:val="0"/>
                <w:color w:val="111827"/>
                <w:sz w:val="16"/>
              </w:rPr>
              <w:t>May be constrained by silos, legacy assumptions or bandwidth.</w:t>
            </w:r>
          </w:p>
        </w:tc>
        <w:tc>
          <w:tcPr>
            <w:tcW w:type="dxa" w:w="2541"/>
            <w:vAlign w:val="center"/>
            <w:shd w:fill="F9FAFB"/>
          </w:tcPr>
          <w:p>
            <w:pPr>
              <w:spacing w:after="0"/>
            </w:pPr>
            <w:r/>
            <w:r>
              <w:rPr>
                <w:rFonts w:ascii="Aptos" w:hAnsi="Aptos"/>
                <w:b w:val="0"/>
                <w:color w:val="111827"/>
                <w:sz w:val="16"/>
              </w:rPr>
              <w:t>Provide independent architecture, prioritisation and governance.</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6FFFB"/>
          </w:tcPr>
          <w:p>
            <w:r>
              <w:rPr>
                <w:b/>
                <w:color w:val="0F766E"/>
                <w:sz w:val="22"/>
              </w:rPr>
              <w:t>Positioning statement</w:t>
              <w:br/>
            </w:r>
            <w:r>
              <w:rPr>
                <w:sz w:val="18"/>
              </w:rPr>
              <w:t>Level141 does not compete to become another execution vendor. It sits above disconnected growth activities, defining how they must work together and how their contribution will be governed and measured.</w:t>
            </w:r>
          </w:p>
        </w:tc>
      </w:tr>
    </w:tbl>
    <w:p>
      <w:pPr>
        <w:spacing w:after="0"/>
      </w:pPr>
    </w:p>
    <w:p>
      <w:pPr>
        <w:pStyle w:val="Heading1"/>
      </w:pPr>
      <w:r>
        <w:t>7. LQ™ Growth Audit: Establishing the Current Level</w:t>
      </w:r>
    </w:p>
    <w:p>
      <w:r>
        <w:t>Every engagement begins by understanding reality. LQ™ (Level Quotient) is the diagnostic mechanism used to establish the organisation's current growth level, expose gaps and create a measurable baseline for the next-level roadmap.</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Audit domain</w:t>
            </w:r>
          </w:p>
        </w:tc>
        <w:tc>
          <w:tcPr>
            <w:tcW w:type="dxa" w:w="5083"/>
            <w:shd w:fill="111827"/>
            <w:vAlign w:val="center"/>
          </w:tcPr>
          <w:p>
            <w:pPr>
              <w:spacing w:after="0"/>
            </w:pPr>
            <w:r/>
            <w:r>
              <w:rPr>
                <w:rFonts w:ascii="Aptos" w:hAnsi="Aptos"/>
                <w:b/>
                <w:color w:val="FFFFFF"/>
                <w:sz w:val="16"/>
              </w:rPr>
              <w:t>Key questions</w:t>
            </w:r>
          </w:p>
        </w:tc>
      </w:tr>
      <w:tr>
        <w:tc>
          <w:tcPr>
            <w:tcW w:type="dxa" w:w="5083"/>
            <w:vAlign w:val="center"/>
          </w:tcPr>
          <w:p>
            <w:pPr>
              <w:spacing w:after="0"/>
            </w:pPr>
            <w:r/>
            <w:r>
              <w:rPr>
                <w:rFonts w:ascii="Aptos" w:hAnsi="Aptos"/>
                <w:b w:val="0"/>
                <w:color w:val="111827"/>
                <w:sz w:val="16"/>
              </w:rPr>
              <w:t>Business &amp; ambition</w:t>
            </w:r>
          </w:p>
        </w:tc>
        <w:tc>
          <w:tcPr>
            <w:tcW w:type="dxa" w:w="5083"/>
            <w:vAlign w:val="center"/>
          </w:tcPr>
          <w:p>
            <w:pPr>
              <w:spacing w:after="0"/>
            </w:pPr>
            <w:r/>
            <w:r>
              <w:rPr>
                <w:rFonts w:ascii="Aptos" w:hAnsi="Aptos"/>
                <w:b w:val="0"/>
                <w:color w:val="111827"/>
                <w:sz w:val="16"/>
              </w:rPr>
              <w:t>Where is the organisation now? What does 'next level' mean in revenue, market, customer, authority or scale terms?</w:t>
            </w:r>
          </w:p>
        </w:tc>
      </w:tr>
      <w:tr>
        <w:tc>
          <w:tcPr>
            <w:tcW w:type="dxa" w:w="5083"/>
            <w:vAlign w:val="center"/>
            <w:shd w:fill="F9FAFB"/>
          </w:tcPr>
          <w:p>
            <w:pPr>
              <w:spacing w:after="0"/>
            </w:pPr>
            <w:r/>
            <w:r>
              <w:rPr>
                <w:rFonts w:ascii="Aptos" w:hAnsi="Aptos"/>
                <w:b w:val="0"/>
                <w:color w:val="111827"/>
                <w:sz w:val="16"/>
              </w:rPr>
              <w:t>Brand &amp; positioning</w:t>
            </w:r>
          </w:p>
        </w:tc>
        <w:tc>
          <w:tcPr>
            <w:tcW w:type="dxa" w:w="5083"/>
            <w:vAlign w:val="center"/>
            <w:shd w:fill="F9FAFB"/>
          </w:tcPr>
          <w:p>
            <w:pPr>
              <w:spacing w:after="0"/>
            </w:pPr>
            <w:r/>
            <w:r>
              <w:rPr>
                <w:rFonts w:ascii="Aptos" w:hAnsi="Aptos"/>
                <w:b w:val="0"/>
                <w:color w:val="111827"/>
                <w:sz w:val="16"/>
              </w:rPr>
              <w:t>Is the value proposition clear, differentiated and consistently expressed?</w:t>
            </w:r>
          </w:p>
        </w:tc>
      </w:tr>
      <w:tr>
        <w:tc>
          <w:tcPr>
            <w:tcW w:type="dxa" w:w="5083"/>
            <w:vAlign w:val="center"/>
          </w:tcPr>
          <w:p>
            <w:pPr>
              <w:spacing w:after="0"/>
            </w:pPr>
            <w:r/>
            <w:r>
              <w:rPr>
                <w:rFonts w:ascii="Aptos" w:hAnsi="Aptos"/>
                <w:b w:val="0"/>
                <w:color w:val="111827"/>
                <w:sz w:val="16"/>
              </w:rPr>
              <w:t>Customer &amp; market</w:t>
            </w:r>
          </w:p>
        </w:tc>
        <w:tc>
          <w:tcPr>
            <w:tcW w:type="dxa" w:w="5083"/>
            <w:vAlign w:val="center"/>
          </w:tcPr>
          <w:p>
            <w:pPr>
              <w:spacing w:after="0"/>
            </w:pPr>
            <w:r/>
            <w:r>
              <w:rPr>
                <w:rFonts w:ascii="Aptos" w:hAnsi="Aptos"/>
                <w:b w:val="0"/>
                <w:color w:val="111827"/>
                <w:sz w:val="16"/>
              </w:rPr>
              <w:t>Is the ICP explicit? Are needs, buying triggers, objections and segments understood?</w:t>
            </w:r>
          </w:p>
        </w:tc>
      </w:tr>
      <w:tr>
        <w:tc>
          <w:tcPr>
            <w:tcW w:type="dxa" w:w="5083"/>
            <w:vAlign w:val="center"/>
            <w:shd w:fill="F9FAFB"/>
          </w:tcPr>
          <w:p>
            <w:pPr>
              <w:spacing w:after="0"/>
            </w:pPr>
            <w:r/>
            <w:r>
              <w:rPr>
                <w:rFonts w:ascii="Aptos" w:hAnsi="Aptos"/>
                <w:b w:val="0"/>
                <w:color w:val="111827"/>
                <w:sz w:val="16"/>
              </w:rPr>
              <w:t>Presence</w:t>
            </w:r>
          </w:p>
        </w:tc>
        <w:tc>
          <w:tcPr>
            <w:tcW w:type="dxa" w:w="5083"/>
            <w:vAlign w:val="center"/>
            <w:shd w:fill="F9FAFB"/>
          </w:tcPr>
          <w:p>
            <w:pPr>
              <w:spacing w:after="0"/>
            </w:pPr>
            <w:r/>
            <w:r>
              <w:rPr>
                <w:rFonts w:ascii="Aptos" w:hAnsi="Aptos"/>
                <w:b w:val="0"/>
                <w:color w:val="111827"/>
                <w:sz w:val="16"/>
              </w:rPr>
              <w:t>Can priority audiences find and understand the organisation across relevant touchpoints?</w:t>
            </w:r>
          </w:p>
        </w:tc>
      </w:tr>
      <w:tr>
        <w:tc>
          <w:tcPr>
            <w:tcW w:type="dxa" w:w="5083"/>
            <w:vAlign w:val="center"/>
          </w:tcPr>
          <w:p>
            <w:pPr>
              <w:spacing w:after="0"/>
            </w:pPr>
            <w:r/>
            <w:r>
              <w:rPr>
                <w:rFonts w:ascii="Aptos" w:hAnsi="Aptos"/>
                <w:b w:val="0"/>
                <w:color w:val="111827"/>
                <w:sz w:val="16"/>
              </w:rPr>
              <w:t>Conversion readiness</w:t>
            </w:r>
          </w:p>
        </w:tc>
        <w:tc>
          <w:tcPr>
            <w:tcW w:type="dxa" w:w="5083"/>
            <w:vAlign w:val="center"/>
          </w:tcPr>
          <w:p>
            <w:pPr>
              <w:spacing w:after="0"/>
            </w:pPr>
            <w:r/>
            <w:r>
              <w:rPr>
                <w:rFonts w:ascii="Aptos" w:hAnsi="Aptos"/>
                <w:b w:val="0"/>
                <w:color w:val="111827"/>
                <w:sz w:val="16"/>
              </w:rPr>
              <w:t>Do journeys, offers, proof, CTAs, landing environments and sales handoffs convert interest?</w:t>
            </w:r>
          </w:p>
        </w:tc>
      </w:tr>
      <w:tr>
        <w:tc>
          <w:tcPr>
            <w:tcW w:type="dxa" w:w="5083"/>
            <w:vAlign w:val="center"/>
            <w:shd w:fill="F9FAFB"/>
          </w:tcPr>
          <w:p>
            <w:pPr>
              <w:spacing w:after="0"/>
            </w:pPr>
            <w:r/>
            <w:r>
              <w:rPr>
                <w:rFonts w:ascii="Aptos" w:hAnsi="Aptos"/>
                <w:b w:val="0"/>
                <w:color w:val="111827"/>
                <w:sz w:val="16"/>
              </w:rPr>
              <w:t>Awareness &amp; demand</w:t>
            </w:r>
          </w:p>
        </w:tc>
        <w:tc>
          <w:tcPr>
            <w:tcW w:type="dxa" w:w="5083"/>
            <w:vAlign w:val="center"/>
            <w:shd w:fill="F9FAFB"/>
          </w:tcPr>
          <w:p>
            <w:pPr>
              <w:spacing w:after="0"/>
            </w:pPr>
            <w:r/>
            <w:r>
              <w:rPr>
                <w:rFonts w:ascii="Aptos" w:hAnsi="Aptos"/>
                <w:b w:val="0"/>
                <w:color w:val="111827"/>
                <w:sz w:val="16"/>
              </w:rPr>
              <w:t>Is there a balanced system for paid, earned, owned, partner and community demand?</w:t>
            </w:r>
          </w:p>
        </w:tc>
      </w:tr>
      <w:tr>
        <w:tc>
          <w:tcPr>
            <w:tcW w:type="dxa" w:w="5083"/>
            <w:vAlign w:val="center"/>
          </w:tcPr>
          <w:p>
            <w:pPr>
              <w:spacing w:after="0"/>
            </w:pPr>
            <w:r/>
            <w:r>
              <w:rPr>
                <w:rFonts w:ascii="Aptos" w:hAnsi="Aptos"/>
                <w:b w:val="0"/>
                <w:color w:val="111827"/>
                <w:sz w:val="16"/>
              </w:rPr>
              <w:t>Nurture</w:t>
            </w:r>
          </w:p>
        </w:tc>
        <w:tc>
          <w:tcPr>
            <w:tcW w:type="dxa" w:w="5083"/>
            <w:vAlign w:val="center"/>
          </w:tcPr>
          <w:p>
            <w:pPr>
              <w:spacing w:after="0"/>
            </w:pPr>
            <w:r/>
            <w:r>
              <w:rPr>
                <w:rFonts w:ascii="Aptos" w:hAnsi="Aptos"/>
                <w:b w:val="0"/>
                <w:color w:val="111827"/>
                <w:sz w:val="16"/>
              </w:rPr>
              <w:t>Are prospects educated, qualified and progressed systematically?</w:t>
            </w:r>
          </w:p>
        </w:tc>
      </w:tr>
      <w:tr>
        <w:tc>
          <w:tcPr>
            <w:tcW w:type="dxa" w:w="5083"/>
            <w:vAlign w:val="center"/>
            <w:shd w:fill="F9FAFB"/>
          </w:tcPr>
          <w:p>
            <w:pPr>
              <w:spacing w:after="0"/>
            </w:pPr>
            <w:r/>
            <w:r>
              <w:rPr>
                <w:rFonts w:ascii="Aptos" w:hAnsi="Aptos"/>
                <w:b w:val="0"/>
                <w:color w:val="111827"/>
                <w:sz w:val="16"/>
              </w:rPr>
              <w:t>Discoverability &amp; trust</w:t>
            </w:r>
          </w:p>
        </w:tc>
        <w:tc>
          <w:tcPr>
            <w:tcW w:type="dxa" w:w="5083"/>
            <w:vAlign w:val="center"/>
            <w:shd w:fill="F9FAFB"/>
          </w:tcPr>
          <w:p>
            <w:pPr>
              <w:spacing w:after="0"/>
            </w:pPr>
            <w:r/>
            <w:r>
              <w:rPr>
                <w:rFonts w:ascii="Aptos" w:hAnsi="Aptos"/>
                <w:b w:val="0"/>
                <w:color w:val="111827"/>
                <w:sz w:val="16"/>
              </w:rPr>
              <w:t>Does search, reputation, proof and third-party validation reduce buyer uncertainty?</w:t>
            </w:r>
          </w:p>
        </w:tc>
      </w:tr>
      <w:tr>
        <w:tc>
          <w:tcPr>
            <w:tcW w:type="dxa" w:w="5083"/>
            <w:vAlign w:val="center"/>
          </w:tcPr>
          <w:p>
            <w:pPr>
              <w:spacing w:after="0"/>
            </w:pPr>
            <w:r/>
            <w:r>
              <w:rPr>
                <w:rFonts w:ascii="Aptos" w:hAnsi="Aptos"/>
                <w:b w:val="0"/>
                <w:color w:val="111827"/>
                <w:sz w:val="16"/>
              </w:rPr>
              <w:t>Sales-growth interface</w:t>
            </w:r>
          </w:p>
        </w:tc>
        <w:tc>
          <w:tcPr>
            <w:tcW w:type="dxa" w:w="5083"/>
            <w:vAlign w:val="center"/>
          </w:tcPr>
          <w:p>
            <w:pPr>
              <w:spacing w:after="0"/>
            </w:pPr>
            <w:r/>
            <w:r>
              <w:rPr>
                <w:rFonts w:ascii="Aptos" w:hAnsi="Aptos"/>
                <w:b w:val="0"/>
                <w:color w:val="111827"/>
                <w:sz w:val="16"/>
              </w:rPr>
              <w:t>Are definitions, qualification, handoffs, feedback loops and pipeline responsibilities aligned?</w:t>
            </w:r>
          </w:p>
        </w:tc>
      </w:tr>
      <w:tr>
        <w:tc>
          <w:tcPr>
            <w:tcW w:type="dxa" w:w="5083"/>
            <w:vAlign w:val="center"/>
            <w:shd w:fill="F9FAFB"/>
          </w:tcPr>
          <w:p>
            <w:pPr>
              <w:spacing w:after="0"/>
            </w:pPr>
            <w:r/>
            <w:r>
              <w:rPr>
                <w:rFonts w:ascii="Aptos" w:hAnsi="Aptos"/>
                <w:b w:val="0"/>
                <w:color w:val="111827"/>
                <w:sz w:val="16"/>
              </w:rPr>
              <w:t>Data &amp; measurement</w:t>
            </w:r>
          </w:p>
        </w:tc>
        <w:tc>
          <w:tcPr>
            <w:tcW w:type="dxa" w:w="5083"/>
            <w:vAlign w:val="center"/>
            <w:shd w:fill="F9FAFB"/>
          </w:tcPr>
          <w:p>
            <w:pPr>
              <w:spacing w:after="0"/>
            </w:pPr>
            <w:r/>
            <w:r>
              <w:rPr>
                <w:rFonts w:ascii="Aptos" w:hAnsi="Aptos"/>
                <w:b w:val="0"/>
                <w:color w:val="111827"/>
                <w:sz w:val="16"/>
              </w:rPr>
              <w:t>Can leadership distinguish activity, leading indicators, pipeline and business outcomes?</w:t>
            </w:r>
          </w:p>
        </w:tc>
      </w:tr>
      <w:tr>
        <w:tc>
          <w:tcPr>
            <w:tcW w:type="dxa" w:w="5083"/>
            <w:vAlign w:val="center"/>
          </w:tcPr>
          <w:p>
            <w:pPr>
              <w:spacing w:after="0"/>
            </w:pPr>
            <w:r/>
            <w:r>
              <w:rPr>
                <w:rFonts w:ascii="Aptos" w:hAnsi="Aptos"/>
                <w:b w:val="0"/>
                <w:color w:val="111827"/>
                <w:sz w:val="16"/>
              </w:rPr>
              <w:t>Governance &amp; execution</w:t>
            </w:r>
          </w:p>
        </w:tc>
        <w:tc>
          <w:tcPr>
            <w:tcW w:type="dxa" w:w="5083"/>
            <w:vAlign w:val="center"/>
          </w:tcPr>
          <w:p>
            <w:pPr>
              <w:spacing w:after="0"/>
            </w:pPr>
            <w:r/>
            <w:r>
              <w:rPr>
                <w:rFonts w:ascii="Aptos" w:hAnsi="Aptos"/>
                <w:b w:val="0"/>
                <w:color w:val="111827"/>
                <w:sz w:val="16"/>
              </w:rPr>
              <w:t>Are owners, agencies, priorities, review cycles and decision rights clear?</w:t>
            </w:r>
          </w:p>
        </w:tc>
      </w:tr>
      <w:tr>
        <w:tc>
          <w:tcPr>
            <w:tcW w:type="dxa" w:w="5083"/>
            <w:vAlign w:val="center"/>
            <w:shd w:fill="F9FAFB"/>
          </w:tcPr>
          <w:p>
            <w:pPr>
              <w:spacing w:after="0"/>
            </w:pPr>
            <w:r/>
            <w:r>
              <w:rPr>
                <w:rFonts w:ascii="Aptos" w:hAnsi="Aptos"/>
                <w:b w:val="0"/>
                <w:color w:val="111827"/>
                <w:sz w:val="16"/>
              </w:rPr>
              <w:t>Scale readiness</w:t>
            </w:r>
          </w:p>
        </w:tc>
        <w:tc>
          <w:tcPr>
            <w:tcW w:type="dxa" w:w="5083"/>
            <w:vAlign w:val="center"/>
            <w:shd w:fill="F9FAFB"/>
          </w:tcPr>
          <w:p>
            <w:pPr>
              <w:spacing w:after="0"/>
            </w:pPr>
            <w:r/>
            <w:r>
              <w:rPr>
                <w:rFonts w:ascii="Aptos" w:hAnsi="Aptos"/>
                <w:b w:val="0"/>
                <w:color w:val="111827"/>
                <w:sz w:val="16"/>
              </w:rPr>
              <w:t>Can systems, capacity, customer experience and economics sustain higher demand?</w:t>
            </w:r>
          </w:p>
        </w:tc>
      </w:tr>
    </w:tbl>
    <w:p>
      <w:pPr>
        <w:spacing w:after="0"/>
      </w:pPr>
    </w:p>
    <w:p>
      <w:pPr>
        <w:pStyle w:val="Heading2"/>
      </w:pPr>
      <w:r>
        <w:t>LQ™ Outputs</w:t>
      </w:r>
    </w:p>
    <w:p>
      <w:pPr>
        <w:pStyle w:val="ListBullet"/>
        <w:spacing w:after="30"/>
      </w:pPr>
      <w:r>
        <w:t>Current Level scorecard and narrative diagnosis.</w:t>
      </w:r>
    </w:p>
    <w:p>
      <w:pPr>
        <w:pStyle w:val="ListBullet"/>
        <w:spacing w:after="30"/>
      </w:pPr>
      <w:r>
        <w:t>Critical growth constraints and dependencies.</w:t>
      </w:r>
    </w:p>
    <w:p>
      <w:pPr>
        <w:pStyle w:val="ListBullet"/>
        <w:spacing w:after="30"/>
      </w:pPr>
      <w:r>
        <w:t>Priority gap heatmap.</w:t>
      </w:r>
    </w:p>
    <w:p>
      <w:pPr>
        <w:pStyle w:val="ListBullet"/>
        <w:spacing w:after="30"/>
      </w:pPr>
      <w:r>
        <w:t>Next-Level definition and target outcomes.</w:t>
      </w:r>
    </w:p>
    <w:p>
      <w:pPr>
        <w:pStyle w:val="ListBullet"/>
        <w:spacing w:after="30"/>
      </w:pPr>
      <w:r>
        <w:t>90-day, 6-month and 12-month intervention priorities.</w:t>
      </w:r>
    </w:p>
    <w:p>
      <w:pPr>
        <w:pStyle w:val="ListBullet"/>
        <w:spacing w:after="30"/>
      </w:pPr>
      <w:r>
        <w:t>Measurement baseline and governance requirements.</w:t>
      </w:r>
    </w:p>
    <w:p>
      <w:pPr>
        <w:pStyle w:val="Heading1"/>
      </w:pPr>
      <w:r>
        <w:t>8. PEAK™ — The Organisational Growth Framework</w:t>
      </w:r>
    </w:p>
    <w:p>
      <w:r>
        <w:t>PEAK™ describes the organisation's progression from being present in the market to generating self-reinforcing growth. It is the strategic outcome framework under which the detailed growth levers are architected.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Pr>
          <w:p>
            <w:pPr>
              <w:spacing w:after="0"/>
            </w:pPr>
            <w:r/>
            <w:r>
              <w:rPr>
                <w:rFonts w:ascii="Aptos" w:hAnsi="Aptos"/>
                <w:b/>
                <w:color w:val="FFFFFF"/>
                <w:sz w:val="16"/>
              </w:rPr>
              <w:t>Stage</w:t>
            </w:r>
          </w:p>
        </w:tc>
        <w:tc>
          <w:tcPr>
            <w:tcW w:type="dxa" w:w="2541"/>
            <w:shd w:fill="111827"/>
            <w:vAlign w:val="center"/>
          </w:tcPr>
          <w:p>
            <w:pPr>
              <w:spacing w:after="0"/>
            </w:pPr>
            <w:r/>
            <w:r>
              <w:rPr>
                <w:rFonts w:ascii="Aptos" w:hAnsi="Aptos"/>
                <w:b/>
                <w:color w:val="FFFFFF"/>
                <w:sz w:val="16"/>
              </w:rPr>
              <w:t>Strategic question</w:t>
            </w:r>
          </w:p>
        </w:tc>
        <w:tc>
          <w:tcPr>
            <w:tcW w:type="dxa" w:w="2541"/>
            <w:shd w:fill="111827"/>
            <w:vAlign w:val="center"/>
          </w:tcPr>
          <w:p>
            <w:pPr>
              <w:spacing w:after="0"/>
            </w:pPr>
            <w:r/>
            <w:r>
              <w:rPr>
                <w:rFonts w:ascii="Aptos" w:hAnsi="Aptos"/>
                <w:b/>
                <w:color w:val="FFFFFF"/>
                <w:sz w:val="16"/>
              </w:rPr>
              <w:t>Focus</w:t>
            </w:r>
          </w:p>
        </w:tc>
        <w:tc>
          <w:tcPr>
            <w:tcW w:type="dxa" w:w="2541"/>
            <w:shd w:fill="111827"/>
            <w:vAlign w:val="center"/>
          </w:tcPr>
          <w:p>
            <w:pPr>
              <w:spacing w:after="0"/>
            </w:pPr>
            <w:r/>
            <w:r>
              <w:rPr>
                <w:rFonts w:ascii="Aptos" w:hAnsi="Aptos"/>
                <w:b/>
                <w:color w:val="FFFFFF"/>
                <w:sz w:val="16"/>
              </w:rPr>
              <w:t>Indicative outcomes</w:t>
            </w:r>
          </w:p>
        </w:tc>
      </w:tr>
      <w:tr>
        <w:tc>
          <w:tcPr>
            <w:tcW w:type="dxa" w:w="2541"/>
            <w:vAlign w:val="center"/>
          </w:tcPr>
          <w:p>
            <w:pPr>
              <w:spacing w:after="0"/>
            </w:pPr>
            <w:r/>
            <w:r>
              <w:rPr>
                <w:rFonts w:ascii="Aptos" w:hAnsi="Aptos"/>
                <w:b w:val="0"/>
                <w:color w:val="111827"/>
                <w:sz w:val="16"/>
              </w:rPr>
              <w:t>P — Presence</w:t>
            </w:r>
          </w:p>
        </w:tc>
        <w:tc>
          <w:tcPr>
            <w:tcW w:type="dxa" w:w="2541"/>
            <w:vAlign w:val="center"/>
          </w:tcPr>
          <w:p>
            <w:pPr>
              <w:spacing w:after="0"/>
            </w:pPr>
            <w:r/>
            <w:r>
              <w:rPr>
                <w:rFonts w:ascii="Aptos" w:hAnsi="Aptos"/>
                <w:b w:val="0"/>
                <w:color w:val="111827"/>
                <w:sz w:val="16"/>
              </w:rPr>
              <w:t>Are we visible, understandable and accessible to the right market?</w:t>
            </w:r>
          </w:p>
        </w:tc>
        <w:tc>
          <w:tcPr>
            <w:tcW w:type="dxa" w:w="2541"/>
            <w:vAlign w:val="center"/>
          </w:tcPr>
          <w:p>
            <w:pPr>
              <w:spacing w:after="0"/>
            </w:pPr>
            <w:r/>
            <w:r>
              <w:rPr>
                <w:rFonts w:ascii="Aptos" w:hAnsi="Aptos"/>
                <w:b w:val="0"/>
                <w:color w:val="111827"/>
                <w:sz w:val="16"/>
              </w:rPr>
              <w:t>Positioning, market presence, channels, discoverability, consistency and conversion readiness.</w:t>
            </w:r>
          </w:p>
        </w:tc>
        <w:tc>
          <w:tcPr>
            <w:tcW w:type="dxa" w:w="2541"/>
            <w:vAlign w:val="center"/>
          </w:tcPr>
          <w:p>
            <w:pPr>
              <w:spacing w:after="0"/>
            </w:pPr>
            <w:r/>
            <w:r>
              <w:rPr>
                <w:rFonts w:ascii="Aptos" w:hAnsi="Aptos"/>
                <w:b w:val="0"/>
                <w:color w:val="111827"/>
                <w:sz w:val="16"/>
              </w:rPr>
              <w:t>Right audiences can find, understand and engage with the organisation.</w:t>
            </w:r>
          </w:p>
        </w:tc>
      </w:tr>
      <w:tr>
        <w:tc>
          <w:tcPr>
            <w:tcW w:type="dxa" w:w="2541"/>
            <w:vAlign w:val="center"/>
            <w:shd w:fill="F9FAFB"/>
          </w:tcPr>
          <w:p>
            <w:pPr>
              <w:spacing w:after="0"/>
            </w:pPr>
            <w:r/>
            <w:r>
              <w:rPr>
                <w:rFonts w:ascii="Aptos" w:hAnsi="Aptos"/>
                <w:b w:val="0"/>
                <w:color w:val="111827"/>
                <w:sz w:val="16"/>
              </w:rPr>
              <w:t>E — Equity</w:t>
            </w:r>
          </w:p>
        </w:tc>
        <w:tc>
          <w:tcPr>
            <w:tcW w:type="dxa" w:w="2541"/>
            <w:vAlign w:val="center"/>
            <w:shd w:fill="F9FAFB"/>
          </w:tcPr>
          <w:p>
            <w:pPr>
              <w:spacing w:after="0"/>
            </w:pPr>
            <w:r/>
            <w:r>
              <w:rPr>
                <w:rFonts w:ascii="Aptos" w:hAnsi="Aptos"/>
                <w:b w:val="0"/>
                <w:color w:val="111827"/>
                <w:sz w:val="16"/>
              </w:rPr>
              <w:t>Why should the market prefer and value us?</w:t>
            </w:r>
          </w:p>
        </w:tc>
        <w:tc>
          <w:tcPr>
            <w:tcW w:type="dxa" w:w="2541"/>
            <w:vAlign w:val="center"/>
            <w:shd w:fill="F9FAFB"/>
          </w:tcPr>
          <w:p>
            <w:pPr>
              <w:spacing w:after="0"/>
            </w:pPr>
            <w:r/>
            <w:r>
              <w:rPr>
                <w:rFonts w:ascii="Aptos" w:hAnsi="Aptos"/>
                <w:b w:val="0"/>
                <w:color w:val="111827"/>
                <w:sz w:val="16"/>
              </w:rPr>
              <w:t>Customer value, experience, reputation, proof, differentiation, relationships and accumulated brand value.</w:t>
            </w:r>
          </w:p>
        </w:tc>
        <w:tc>
          <w:tcPr>
            <w:tcW w:type="dxa" w:w="2541"/>
            <w:vAlign w:val="center"/>
            <w:shd w:fill="F9FAFB"/>
          </w:tcPr>
          <w:p>
            <w:pPr>
              <w:spacing w:after="0"/>
            </w:pPr>
            <w:r/>
            <w:r>
              <w:rPr>
                <w:rFonts w:ascii="Aptos" w:hAnsi="Aptos"/>
                <w:b w:val="0"/>
                <w:color w:val="111827"/>
                <w:sz w:val="16"/>
              </w:rPr>
              <w:t>Higher preference, stronger trust, better retention and pricing resilience.</w:t>
            </w:r>
          </w:p>
        </w:tc>
      </w:tr>
      <w:tr>
        <w:tc>
          <w:tcPr>
            <w:tcW w:type="dxa" w:w="2541"/>
            <w:vAlign w:val="center"/>
          </w:tcPr>
          <w:p>
            <w:pPr>
              <w:spacing w:after="0"/>
            </w:pPr>
            <w:r/>
            <w:r>
              <w:rPr>
                <w:rFonts w:ascii="Aptos" w:hAnsi="Aptos"/>
                <w:b w:val="0"/>
                <w:color w:val="111827"/>
                <w:sz w:val="16"/>
              </w:rPr>
              <w:t>A — Authority</w:t>
            </w:r>
          </w:p>
        </w:tc>
        <w:tc>
          <w:tcPr>
            <w:tcW w:type="dxa" w:w="2541"/>
            <w:vAlign w:val="center"/>
          </w:tcPr>
          <w:p>
            <w:pPr>
              <w:spacing w:after="0"/>
            </w:pPr>
            <w:r/>
            <w:r>
              <w:rPr>
                <w:rFonts w:ascii="Aptos" w:hAnsi="Aptos"/>
                <w:b w:val="0"/>
                <w:color w:val="111827"/>
                <w:sz w:val="16"/>
              </w:rPr>
              <w:t>Why should the market believe and follow us?</w:t>
            </w:r>
          </w:p>
        </w:tc>
        <w:tc>
          <w:tcPr>
            <w:tcW w:type="dxa" w:w="2541"/>
            <w:vAlign w:val="center"/>
          </w:tcPr>
          <w:p>
            <w:pPr>
              <w:spacing w:after="0"/>
            </w:pPr>
            <w:r/>
            <w:r>
              <w:rPr>
                <w:rFonts w:ascii="Aptos" w:hAnsi="Aptos"/>
                <w:b w:val="0"/>
                <w:color w:val="111827"/>
                <w:sz w:val="16"/>
              </w:rPr>
              <w:t>Expertise, category leadership, thought leadership, proof, earned validation, partnerships and institutional credibility.</w:t>
            </w:r>
          </w:p>
        </w:tc>
        <w:tc>
          <w:tcPr>
            <w:tcW w:type="dxa" w:w="2541"/>
            <w:vAlign w:val="center"/>
          </w:tcPr>
          <w:p>
            <w:pPr>
              <w:spacing w:after="0"/>
            </w:pPr>
            <w:r/>
            <w:r>
              <w:rPr>
                <w:rFonts w:ascii="Aptos" w:hAnsi="Aptos"/>
                <w:b w:val="0"/>
                <w:color w:val="111827"/>
                <w:sz w:val="16"/>
              </w:rPr>
              <w:t>Reduced buyer risk, stronger influence and higher-quality opportunity.</w:t>
            </w:r>
          </w:p>
        </w:tc>
      </w:tr>
      <w:tr>
        <w:tc>
          <w:tcPr>
            <w:tcW w:type="dxa" w:w="2541"/>
            <w:vAlign w:val="center"/>
            <w:shd w:fill="F9FAFB"/>
          </w:tcPr>
          <w:p>
            <w:pPr>
              <w:spacing w:after="0"/>
            </w:pPr>
            <w:r/>
            <w:r>
              <w:rPr>
                <w:rFonts w:ascii="Aptos" w:hAnsi="Aptos"/>
                <w:b w:val="0"/>
                <w:color w:val="111827"/>
                <w:sz w:val="16"/>
              </w:rPr>
              <w:t>K — Kinetic Growth</w:t>
            </w:r>
          </w:p>
        </w:tc>
        <w:tc>
          <w:tcPr>
            <w:tcW w:type="dxa" w:w="2541"/>
            <w:vAlign w:val="center"/>
            <w:shd w:fill="F9FAFB"/>
          </w:tcPr>
          <w:p>
            <w:pPr>
              <w:spacing w:after="0"/>
            </w:pPr>
            <w:r/>
            <w:r>
              <w:rPr>
                <w:rFonts w:ascii="Aptos" w:hAnsi="Aptos"/>
                <w:b w:val="0"/>
                <w:color w:val="111827"/>
                <w:sz w:val="16"/>
              </w:rPr>
              <w:t>How does the system create sustained forward movement?</w:t>
            </w:r>
          </w:p>
        </w:tc>
        <w:tc>
          <w:tcPr>
            <w:tcW w:type="dxa" w:w="2541"/>
            <w:vAlign w:val="center"/>
            <w:shd w:fill="F9FAFB"/>
          </w:tcPr>
          <w:p>
            <w:pPr>
              <w:spacing w:after="0"/>
            </w:pPr>
            <w:r/>
            <w:r>
              <w:rPr>
                <w:rFonts w:ascii="Aptos" w:hAnsi="Aptos"/>
                <w:b w:val="0"/>
                <w:color w:val="111827"/>
                <w:sz w:val="16"/>
              </w:rPr>
              <w:t>Demand, nurture, conversion, sales integration, referrals, expansion, optimisation and scalable governance.</w:t>
            </w:r>
          </w:p>
        </w:tc>
        <w:tc>
          <w:tcPr>
            <w:tcW w:type="dxa" w:w="2541"/>
            <w:vAlign w:val="center"/>
            <w:shd w:fill="F9FAFB"/>
          </w:tcPr>
          <w:p>
            <w:pPr>
              <w:spacing w:after="0"/>
            </w:pPr>
            <w:r/>
            <w:r>
              <w:rPr>
                <w:rFonts w:ascii="Aptos" w:hAnsi="Aptos"/>
                <w:b w:val="0"/>
                <w:color w:val="111827"/>
                <w:sz w:val="16"/>
              </w:rPr>
              <w:t>Repeatable pipeline, improved conversion, stronger economics and scalable growth.</w:t>
            </w:r>
          </w:p>
        </w:tc>
      </w:tr>
    </w:tbl>
    <w:p>
      <w:pPr>
        <w:spacing w:after="0"/>
      </w:pPr>
    </w:p>
    <w:p>
      <w:pPr>
        <w:pStyle w:val="Heading1"/>
      </w:pPr>
      <w:r>
        <w:t>9. B.R.A.N.D.S.™ — The Integrated Growth Levers</w:t>
      </w:r>
    </w:p>
    <w:p>
      <w:r>
        <w:t>B.R.A.N.D.S.™ is the operating architecture beneath PEAK™. It ensures that the major market-facing growth levers are not managed as separate campaigns.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Lever</w:t>
            </w:r>
          </w:p>
        </w:tc>
        <w:tc>
          <w:tcPr>
            <w:tcW w:type="dxa" w:w="3389"/>
            <w:shd w:fill="111827"/>
            <w:vAlign w:val="center"/>
          </w:tcPr>
          <w:p>
            <w:pPr>
              <w:spacing w:after="0"/>
            </w:pPr>
            <w:r/>
            <w:r>
              <w:rPr>
                <w:rFonts w:ascii="Aptos" w:hAnsi="Aptos"/>
                <w:b/>
                <w:color w:val="FFFFFF"/>
                <w:sz w:val="16"/>
              </w:rPr>
              <w:t>Role in the architecture</w:t>
            </w:r>
          </w:p>
        </w:tc>
        <w:tc>
          <w:tcPr>
            <w:tcW w:type="dxa" w:w="3389"/>
            <w:shd w:fill="111827"/>
            <w:vAlign w:val="center"/>
          </w:tcPr>
          <w:p>
            <w:pPr>
              <w:spacing w:after="0"/>
            </w:pPr>
            <w:r/>
            <w:r>
              <w:rPr>
                <w:rFonts w:ascii="Aptos" w:hAnsi="Aptos"/>
                <w:b/>
                <w:color w:val="FFFFFF"/>
                <w:sz w:val="16"/>
              </w:rPr>
              <w:t>Typical components</w:t>
            </w:r>
          </w:p>
        </w:tc>
      </w:tr>
      <w:tr>
        <w:tc>
          <w:tcPr>
            <w:tcW w:type="dxa" w:w="3389"/>
            <w:vAlign w:val="center"/>
          </w:tcPr>
          <w:p>
            <w:pPr>
              <w:spacing w:after="0"/>
            </w:pPr>
            <w:r/>
            <w:r>
              <w:rPr>
                <w:rFonts w:ascii="Aptos" w:hAnsi="Aptos"/>
                <w:b w:val="0"/>
                <w:color w:val="111827"/>
                <w:sz w:val="16"/>
              </w:rPr>
              <w:t>B — Brand &amp; Positioning</w:t>
            </w:r>
          </w:p>
        </w:tc>
        <w:tc>
          <w:tcPr>
            <w:tcW w:type="dxa" w:w="3389"/>
            <w:vAlign w:val="center"/>
          </w:tcPr>
          <w:p>
            <w:pPr>
              <w:spacing w:after="0"/>
            </w:pPr>
            <w:r/>
            <w:r>
              <w:rPr>
                <w:rFonts w:ascii="Aptos" w:hAnsi="Aptos"/>
                <w:b w:val="0"/>
                <w:color w:val="111827"/>
                <w:sz w:val="16"/>
              </w:rPr>
              <w:t>Clarifies who the organisation is, why it matters and why it is different.</w:t>
            </w:r>
          </w:p>
        </w:tc>
        <w:tc>
          <w:tcPr>
            <w:tcW w:type="dxa" w:w="3389"/>
            <w:vAlign w:val="center"/>
          </w:tcPr>
          <w:p>
            <w:pPr>
              <w:spacing w:after="0"/>
            </w:pPr>
            <w:r/>
            <w:r>
              <w:rPr>
                <w:rFonts w:ascii="Aptos" w:hAnsi="Aptos"/>
                <w:b w:val="0"/>
                <w:color w:val="111827"/>
                <w:sz w:val="16"/>
              </w:rPr>
              <w:t>Purpose, proposition, category, differentiation, messaging, offer architecture and brand consistency.</w:t>
            </w:r>
          </w:p>
        </w:tc>
      </w:tr>
      <w:tr>
        <w:tc>
          <w:tcPr>
            <w:tcW w:type="dxa" w:w="3389"/>
            <w:vAlign w:val="center"/>
            <w:shd w:fill="F9FAFB"/>
          </w:tcPr>
          <w:p>
            <w:pPr>
              <w:spacing w:after="0"/>
            </w:pPr>
            <w:r/>
            <w:r>
              <w:rPr>
                <w:rFonts w:ascii="Aptos" w:hAnsi="Aptos"/>
                <w:b w:val="0"/>
                <w:color w:val="111827"/>
                <w:sz w:val="16"/>
              </w:rPr>
              <w:t>R — Readiness &amp; Conversion</w:t>
            </w:r>
          </w:p>
        </w:tc>
        <w:tc>
          <w:tcPr>
            <w:tcW w:type="dxa" w:w="3389"/>
            <w:vAlign w:val="center"/>
            <w:shd w:fill="F9FAFB"/>
          </w:tcPr>
          <w:p>
            <w:pPr>
              <w:spacing w:after="0"/>
            </w:pPr>
            <w:r/>
            <w:r>
              <w:rPr>
                <w:rFonts w:ascii="Aptos" w:hAnsi="Aptos"/>
                <w:b w:val="0"/>
                <w:color w:val="111827"/>
                <w:sz w:val="16"/>
              </w:rPr>
              <w:t>Ensures attention can become action and revenue.</w:t>
            </w:r>
          </w:p>
        </w:tc>
        <w:tc>
          <w:tcPr>
            <w:tcW w:type="dxa" w:w="3389"/>
            <w:vAlign w:val="center"/>
            <w:shd w:fill="F9FAFB"/>
          </w:tcPr>
          <w:p>
            <w:pPr>
              <w:spacing w:after="0"/>
            </w:pPr>
            <w:r/>
            <w:r>
              <w:rPr>
                <w:rFonts w:ascii="Aptos" w:hAnsi="Aptos"/>
                <w:b w:val="0"/>
                <w:color w:val="111827"/>
                <w:sz w:val="16"/>
              </w:rPr>
              <w:t>Journeys, websites/landing environments, proof, CTAs, lead capture, sales readiness, handoff and conversion friction.</w:t>
            </w:r>
          </w:p>
        </w:tc>
      </w:tr>
      <w:tr>
        <w:tc>
          <w:tcPr>
            <w:tcW w:type="dxa" w:w="3389"/>
            <w:vAlign w:val="center"/>
          </w:tcPr>
          <w:p>
            <w:pPr>
              <w:spacing w:after="0"/>
            </w:pPr>
            <w:r/>
            <w:r>
              <w:rPr>
                <w:rFonts w:ascii="Aptos" w:hAnsi="Aptos"/>
                <w:b w:val="0"/>
                <w:color w:val="111827"/>
                <w:sz w:val="16"/>
              </w:rPr>
              <w:t>A — Awareness</w:t>
            </w:r>
          </w:p>
        </w:tc>
        <w:tc>
          <w:tcPr>
            <w:tcW w:type="dxa" w:w="3389"/>
            <w:vAlign w:val="center"/>
          </w:tcPr>
          <w:p>
            <w:pPr>
              <w:spacing w:after="0"/>
            </w:pPr>
            <w:r/>
            <w:r>
              <w:rPr>
                <w:rFonts w:ascii="Aptos" w:hAnsi="Aptos"/>
                <w:b w:val="0"/>
                <w:color w:val="111827"/>
                <w:sz w:val="16"/>
              </w:rPr>
              <w:t>Creates qualified first-touch visibility among priority audiences.</w:t>
            </w:r>
          </w:p>
        </w:tc>
        <w:tc>
          <w:tcPr>
            <w:tcW w:type="dxa" w:w="3389"/>
            <w:vAlign w:val="center"/>
          </w:tcPr>
          <w:p>
            <w:pPr>
              <w:spacing w:after="0"/>
            </w:pPr>
            <w:r/>
            <w:r>
              <w:rPr>
                <w:rFonts w:ascii="Aptos" w:hAnsi="Aptos"/>
                <w:b w:val="0"/>
                <w:color w:val="111827"/>
                <w:sz w:val="16"/>
              </w:rPr>
              <w:t>Paid, earned, owned, partnerships, events, communities, social and targeted reach.</w:t>
            </w:r>
          </w:p>
        </w:tc>
      </w:tr>
      <w:tr>
        <w:tc>
          <w:tcPr>
            <w:tcW w:type="dxa" w:w="3389"/>
            <w:vAlign w:val="center"/>
            <w:shd w:fill="F9FAFB"/>
          </w:tcPr>
          <w:p>
            <w:pPr>
              <w:spacing w:after="0"/>
            </w:pPr>
            <w:r/>
            <w:r>
              <w:rPr>
                <w:rFonts w:ascii="Aptos" w:hAnsi="Aptos"/>
                <w:b w:val="0"/>
                <w:color w:val="111827"/>
                <w:sz w:val="16"/>
              </w:rPr>
              <w:t>N — Nurture</w:t>
            </w:r>
          </w:p>
        </w:tc>
        <w:tc>
          <w:tcPr>
            <w:tcW w:type="dxa" w:w="3389"/>
            <w:vAlign w:val="center"/>
            <w:shd w:fill="F9FAFB"/>
          </w:tcPr>
          <w:p>
            <w:pPr>
              <w:spacing w:after="0"/>
            </w:pPr>
            <w:r/>
            <w:r>
              <w:rPr>
                <w:rFonts w:ascii="Aptos" w:hAnsi="Aptos"/>
                <w:b w:val="0"/>
                <w:color w:val="111827"/>
                <w:sz w:val="16"/>
              </w:rPr>
              <w:t>Moves prospects from awareness and interest toward confidence and action.</w:t>
            </w:r>
          </w:p>
        </w:tc>
        <w:tc>
          <w:tcPr>
            <w:tcW w:type="dxa" w:w="3389"/>
            <w:vAlign w:val="center"/>
            <w:shd w:fill="F9FAFB"/>
          </w:tcPr>
          <w:p>
            <w:pPr>
              <w:spacing w:after="0"/>
            </w:pPr>
            <w:r/>
            <w:r>
              <w:rPr>
                <w:rFonts w:ascii="Aptos" w:hAnsi="Aptos"/>
                <w:b w:val="0"/>
                <w:color w:val="111827"/>
                <w:sz w:val="16"/>
              </w:rPr>
              <w:t>CRM logic, segmentation, content journeys, follow-up, remarketing, email, education and sales enablement.</w:t>
            </w:r>
          </w:p>
        </w:tc>
      </w:tr>
      <w:tr>
        <w:tc>
          <w:tcPr>
            <w:tcW w:type="dxa" w:w="3389"/>
            <w:vAlign w:val="center"/>
          </w:tcPr>
          <w:p>
            <w:pPr>
              <w:spacing w:after="0"/>
            </w:pPr>
            <w:r/>
            <w:r>
              <w:rPr>
                <w:rFonts w:ascii="Aptos" w:hAnsi="Aptos"/>
                <w:b w:val="0"/>
                <w:color w:val="111827"/>
                <w:sz w:val="16"/>
              </w:rPr>
              <w:t>D — Discoverability &amp; Trust</w:t>
            </w:r>
          </w:p>
        </w:tc>
        <w:tc>
          <w:tcPr>
            <w:tcW w:type="dxa" w:w="3389"/>
            <w:vAlign w:val="center"/>
          </w:tcPr>
          <w:p>
            <w:pPr>
              <w:spacing w:after="0"/>
            </w:pPr>
            <w:r/>
            <w:r>
              <w:rPr>
                <w:rFonts w:ascii="Aptos" w:hAnsi="Aptos"/>
                <w:b w:val="0"/>
                <w:color w:val="111827"/>
                <w:sz w:val="16"/>
              </w:rPr>
              <w:t>Makes the organisation easy to find and credible to validate.</w:t>
            </w:r>
          </w:p>
        </w:tc>
        <w:tc>
          <w:tcPr>
            <w:tcW w:type="dxa" w:w="3389"/>
            <w:vAlign w:val="center"/>
          </w:tcPr>
          <w:p>
            <w:pPr>
              <w:spacing w:after="0"/>
            </w:pPr>
            <w:r/>
            <w:r>
              <w:rPr>
                <w:rFonts w:ascii="Aptos" w:hAnsi="Aptos"/>
                <w:b w:val="0"/>
                <w:color w:val="111827"/>
                <w:sz w:val="16"/>
              </w:rPr>
              <w:t>Search, reviews, reputation, proof, media, case studies, authority assets, listings and trust signals.</w:t>
            </w:r>
          </w:p>
        </w:tc>
      </w:tr>
      <w:tr>
        <w:tc>
          <w:tcPr>
            <w:tcW w:type="dxa" w:w="3389"/>
            <w:vAlign w:val="center"/>
            <w:shd w:fill="F9FAFB"/>
          </w:tcPr>
          <w:p>
            <w:pPr>
              <w:spacing w:after="0"/>
            </w:pPr>
            <w:r/>
            <w:r>
              <w:rPr>
                <w:rFonts w:ascii="Aptos" w:hAnsi="Aptos"/>
                <w:b w:val="0"/>
                <w:color w:val="111827"/>
                <w:sz w:val="16"/>
              </w:rPr>
              <w:t>S — Scale</w:t>
            </w:r>
          </w:p>
        </w:tc>
        <w:tc>
          <w:tcPr>
            <w:tcW w:type="dxa" w:w="3389"/>
            <w:vAlign w:val="center"/>
            <w:shd w:fill="F9FAFB"/>
          </w:tcPr>
          <w:p>
            <w:pPr>
              <w:spacing w:after="0"/>
            </w:pPr>
            <w:r/>
            <w:r>
              <w:rPr>
                <w:rFonts w:ascii="Aptos" w:hAnsi="Aptos"/>
                <w:b w:val="0"/>
                <w:color w:val="111827"/>
                <w:sz w:val="16"/>
              </w:rPr>
              <w:t>Integrates demand, pipeline, optimisation and governance for repeatable growth.</w:t>
            </w:r>
          </w:p>
        </w:tc>
        <w:tc>
          <w:tcPr>
            <w:tcW w:type="dxa" w:w="3389"/>
            <w:vAlign w:val="center"/>
            <w:shd w:fill="F9FAFB"/>
          </w:tcPr>
          <w:p>
            <w:pPr>
              <w:spacing w:after="0"/>
            </w:pPr>
            <w:r/>
            <w:r>
              <w:rPr>
                <w:rFonts w:ascii="Aptos" w:hAnsi="Aptos"/>
                <w:b w:val="0"/>
                <w:color w:val="111827"/>
                <w:sz w:val="16"/>
              </w:rPr>
              <w:t>Lead/demand architecture, KPI system, experimentation, budget logic, partner governance, feedback loops and scale roadmap.</w:t>
            </w:r>
          </w:p>
        </w:tc>
      </w:tr>
    </w:tbl>
    <w:p>
      <w:pPr>
        <w:spacing w:after="0"/>
      </w:pPr>
    </w:p>
    <w:p>
      <w:r>
        <w:t>Customer &amp; Market is a cross-cutting foundation across all six B.R.A.N.D.S. levers. It is not a separate campaign; every lever must be built around the defined ICP, buying context and market reality.</w:t>
      </w:r>
    </w:p>
    <w:p>
      <w:pPr>
        <w:pStyle w:val="Heading1"/>
      </w:pPr>
      <w:r>
        <w:t>10. Growth Gap Architecture</w:t>
      </w:r>
    </w:p>
    <w:p>
      <w:r>
        <w:t>The central deliverable is not a list of recommendations. It is a prioritised bridge between Current Level and Next Level.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Step</w:t>
            </w:r>
          </w:p>
        </w:tc>
        <w:tc>
          <w:tcPr>
            <w:tcW w:type="dxa" w:w="3389"/>
            <w:shd w:fill="111827"/>
            <w:vAlign w:val="center"/>
          </w:tcPr>
          <w:p>
            <w:pPr>
              <w:spacing w:after="0"/>
            </w:pPr>
            <w:r/>
            <w:r>
              <w:rPr>
                <w:rFonts w:ascii="Aptos" w:hAnsi="Aptos"/>
                <w:b/>
                <w:color w:val="FFFFFF"/>
                <w:sz w:val="16"/>
              </w:rPr>
              <w:t>Question</w:t>
            </w:r>
          </w:p>
        </w:tc>
        <w:tc>
          <w:tcPr>
            <w:tcW w:type="dxa" w:w="3389"/>
            <w:shd w:fill="111827"/>
            <w:vAlign w:val="center"/>
          </w:tcPr>
          <w:p>
            <w:pPr>
              <w:spacing w:after="0"/>
            </w:pPr>
            <w:r/>
            <w:r>
              <w:rPr>
                <w:rFonts w:ascii="Aptos" w:hAnsi="Aptos"/>
                <w:b/>
                <w:color w:val="FFFFFF"/>
                <w:sz w:val="16"/>
              </w:rPr>
              <w:t>Output</w:t>
            </w:r>
          </w:p>
        </w:tc>
      </w:tr>
      <w:tr>
        <w:tc>
          <w:tcPr>
            <w:tcW w:type="dxa" w:w="3389"/>
            <w:vAlign w:val="center"/>
          </w:tcPr>
          <w:p>
            <w:pPr>
              <w:spacing w:after="0"/>
            </w:pPr>
            <w:r/>
            <w:r>
              <w:rPr>
                <w:rFonts w:ascii="Aptos" w:hAnsi="Aptos"/>
                <w:b w:val="0"/>
                <w:color w:val="111827"/>
                <w:sz w:val="16"/>
              </w:rPr>
              <w:t>1. Current State</w:t>
            </w:r>
          </w:p>
        </w:tc>
        <w:tc>
          <w:tcPr>
            <w:tcW w:type="dxa" w:w="3389"/>
            <w:vAlign w:val="center"/>
          </w:tcPr>
          <w:p>
            <w:pPr>
              <w:spacing w:after="0"/>
            </w:pPr>
            <w:r/>
            <w:r>
              <w:rPr>
                <w:rFonts w:ascii="Aptos" w:hAnsi="Aptos"/>
                <w:b w:val="0"/>
                <w:color w:val="111827"/>
                <w:sz w:val="16"/>
              </w:rPr>
              <w:t>What is true today?</w:t>
            </w:r>
          </w:p>
        </w:tc>
        <w:tc>
          <w:tcPr>
            <w:tcW w:type="dxa" w:w="3389"/>
            <w:vAlign w:val="center"/>
          </w:tcPr>
          <w:p>
            <w:pPr>
              <w:spacing w:after="0"/>
            </w:pPr>
            <w:r/>
            <w:r>
              <w:rPr>
                <w:rFonts w:ascii="Aptos" w:hAnsi="Aptos"/>
                <w:b w:val="0"/>
                <w:color w:val="111827"/>
                <w:sz w:val="16"/>
              </w:rPr>
              <w:t>Evidence-based LQ™ baseline.</w:t>
            </w:r>
          </w:p>
        </w:tc>
      </w:tr>
      <w:tr>
        <w:tc>
          <w:tcPr>
            <w:tcW w:type="dxa" w:w="3389"/>
            <w:vAlign w:val="center"/>
            <w:shd w:fill="F9FAFB"/>
          </w:tcPr>
          <w:p>
            <w:pPr>
              <w:spacing w:after="0"/>
            </w:pPr>
            <w:r/>
            <w:r>
              <w:rPr>
                <w:rFonts w:ascii="Aptos" w:hAnsi="Aptos"/>
                <w:b w:val="0"/>
                <w:color w:val="111827"/>
                <w:sz w:val="16"/>
              </w:rPr>
              <w:t>2. Next Level</w:t>
            </w:r>
          </w:p>
        </w:tc>
        <w:tc>
          <w:tcPr>
            <w:tcW w:type="dxa" w:w="3389"/>
            <w:vAlign w:val="center"/>
            <w:shd w:fill="F9FAFB"/>
          </w:tcPr>
          <w:p>
            <w:pPr>
              <w:spacing w:after="0"/>
            </w:pPr>
            <w:r/>
            <w:r>
              <w:rPr>
                <w:rFonts w:ascii="Aptos" w:hAnsi="Aptos"/>
                <w:b w:val="0"/>
                <w:color w:val="111827"/>
                <w:sz w:val="16"/>
              </w:rPr>
              <w:t>What specific business state are we trying to reach?</w:t>
            </w:r>
          </w:p>
        </w:tc>
        <w:tc>
          <w:tcPr>
            <w:tcW w:type="dxa" w:w="3389"/>
            <w:vAlign w:val="center"/>
            <w:shd w:fill="F9FAFB"/>
          </w:tcPr>
          <w:p>
            <w:pPr>
              <w:spacing w:after="0"/>
            </w:pPr>
            <w:r/>
            <w:r>
              <w:rPr>
                <w:rFonts w:ascii="Aptos" w:hAnsi="Aptos"/>
                <w:b w:val="0"/>
                <w:color w:val="111827"/>
                <w:sz w:val="16"/>
              </w:rPr>
              <w:t>Target outcomes and strategic definition.</w:t>
            </w:r>
          </w:p>
        </w:tc>
      </w:tr>
      <w:tr>
        <w:tc>
          <w:tcPr>
            <w:tcW w:type="dxa" w:w="3389"/>
            <w:vAlign w:val="center"/>
          </w:tcPr>
          <w:p>
            <w:pPr>
              <w:spacing w:after="0"/>
            </w:pPr>
            <w:r/>
            <w:r>
              <w:rPr>
                <w:rFonts w:ascii="Aptos" w:hAnsi="Aptos"/>
                <w:b w:val="0"/>
                <w:color w:val="111827"/>
                <w:sz w:val="16"/>
              </w:rPr>
              <w:t>3. Gap</w:t>
            </w:r>
          </w:p>
        </w:tc>
        <w:tc>
          <w:tcPr>
            <w:tcW w:type="dxa" w:w="3389"/>
            <w:vAlign w:val="center"/>
          </w:tcPr>
          <w:p>
            <w:pPr>
              <w:spacing w:after="0"/>
            </w:pPr>
            <w:r/>
            <w:r>
              <w:rPr>
                <w:rFonts w:ascii="Aptos" w:hAnsi="Aptos"/>
                <w:b w:val="0"/>
                <w:color w:val="111827"/>
                <w:sz w:val="16"/>
              </w:rPr>
              <w:t>What prevents movement from current to next?</w:t>
            </w:r>
          </w:p>
        </w:tc>
        <w:tc>
          <w:tcPr>
            <w:tcW w:type="dxa" w:w="3389"/>
            <w:vAlign w:val="center"/>
          </w:tcPr>
          <w:p>
            <w:pPr>
              <w:spacing w:after="0"/>
            </w:pPr>
            <w:r/>
            <w:r>
              <w:rPr>
                <w:rFonts w:ascii="Aptos" w:hAnsi="Aptos"/>
                <w:b w:val="0"/>
                <w:color w:val="111827"/>
                <w:sz w:val="16"/>
              </w:rPr>
              <w:t>Prioritised constraints, dependencies and opportunities.</w:t>
            </w:r>
          </w:p>
        </w:tc>
      </w:tr>
      <w:tr>
        <w:tc>
          <w:tcPr>
            <w:tcW w:type="dxa" w:w="3389"/>
            <w:vAlign w:val="center"/>
            <w:shd w:fill="F9FAFB"/>
          </w:tcPr>
          <w:p>
            <w:pPr>
              <w:spacing w:after="0"/>
            </w:pPr>
            <w:r/>
            <w:r>
              <w:rPr>
                <w:rFonts w:ascii="Aptos" w:hAnsi="Aptos"/>
                <w:b w:val="0"/>
                <w:color w:val="111827"/>
                <w:sz w:val="16"/>
              </w:rPr>
              <w:t>4. Architecture</w:t>
            </w:r>
          </w:p>
        </w:tc>
        <w:tc>
          <w:tcPr>
            <w:tcW w:type="dxa" w:w="3389"/>
            <w:vAlign w:val="center"/>
            <w:shd w:fill="F9FAFB"/>
          </w:tcPr>
          <w:p>
            <w:pPr>
              <w:spacing w:after="0"/>
            </w:pPr>
            <w:r/>
            <w:r>
              <w:rPr>
                <w:rFonts w:ascii="Aptos" w:hAnsi="Aptos"/>
                <w:b w:val="0"/>
                <w:color w:val="111827"/>
                <w:sz w:val="16"/>
              </w:rPr>
              <w:t>Which integrated systems must change?</w:t>
            </w:r>
          </w:p>
        </w:tc>
        <w:tc>
          <w:tcPr>
            <w:tcW w:type="dxa" w:w="3389"/>
            <w:vAlign w:val="center"/>
            <w:shd w:fill="F9FAFB"/>
          </w:tcPr>
          <w:p>
            <w:pPr>
              <w:spacing w:after="0"/>
            </w:pPr>
            <w:r/>
            <w:r>
              <w:rPr>
                <w:rFonts w:ascii="Aptos" w:hAnsi="Aptos"/>
                <w:b w:val="0"/>
                <w:color w:val="111827"/>
                <w:sz w:val="16"/>
              </w:rPr>
              <w:t>PEAK™ / B.R.A.N.D.S. blueprint.</w:t>
            </w:r>
          </w:p>
        </w:tc>
      </w:tr>
      <w:tr>
        <w:tc>
          <w:tcPr>
            <w:tcW w:type="dxa" w:w="3389"/>
            <w:vAlign w:val="center"/>
          </w:tcPr>
          <w:p>
            <w:pPr>
              <w:spacing w:after="0"/>
            </w:pPr>
            <w:r/>
            <w:r>
              <w:rPr>
                <w:rFonts w:ascii="Aptos" w:hAnsi="Aptos"/>
                <w:b w:val="0"/>
                <w:color w:val="111827"/>
                <w:sz w:val="16"/>
              </w:rPr>
              <w:t>5. Activation</w:t>
            </w:r>
          </w:p>
        </w:tc>
        <w:tc>
          <w:tcPr>
            <w:tcW w:type="dxa" w:w="3389"/>
            <w:vAlign w:val="center"/>
          </w:tcPr>
          <w:p>
            <w:pPr>
              <w:spacing w:after="0"/>
            </w:pPr>
            <w:r/>
            <w:r>
              <w:rPr>
                <w:rFonts w:ascii="Aptos" w:hAnsi="Aptos"/>
                <w:b w:val="0"/>
                <w:color w:val="111827"/>
                <w:sz w:val="16"/>
              </w:rPr>
              <w:t>What must happen first, by whom and in what sequence?</w:t>
            </w:r>
          </w:p>
        </w:tc>
        <w:tc>
          <w:tcPr>
            <w:tcW w:type="dxa" w:w="3389"/>
            <w:vAlign w:val="center"/>
          </w:tcPr>
          <w:p>
            <w:pPr>
              <w:spacing w:after="0"/>
            </w:pPr>
            <w:r/>
            <w:r>
              <w:rPr>
                <w:rFonts w:ascii="Aptos" w:hAnsi="Aptos"/>
                <w:b w:val="0"/>
                <w:color w:val="111827"/>
                <w:sz w:val="16"/>
              </w:rPr>
              <w:t>90-day and phased roadmap.</w:t>
            </w:r>
          </w:p>
        </w:tc>
      </w:tr>
      <w:tr>
        <w:tc>
          <w:tcPr>
            <w:tcW w:type="dxa" w:w="3389"/>
            <w:vAlign w:val="center"/>
            <w:shd w:fill="F9FAFB"/>
          </w:tcPr>
          <w:p>
            <w:pPr>
              <w:spacing w:after="0"/>
            </w:pPr>
            <w:r/>
            <w:r>
              <w:rPr>
                <w:rFonts w:ascii="Aptos" w:hAnsi="Aptos"/>
                <w:b w:val="0"/>
                <w:color w:val="111827"/>
                <w:sz w:val="16"/>
              </w:rPr>
              <w:t>6. Measurement</w:t>
            </w:r>
          </w:p>
        </w:tc>
        <w:tc>
          <w:tcPr>
            <w:tcW w:type="dxa" w:w="3389"/>
            <w:vAlign w:val="center"/>
            <w:shd w:fill="F9FAFB"/>
          </w:tcPr>
          <w:p>
            <w:pPr>
              <w:spacing w:after="0"/>
            </w:pPr>
            <w:r/>
            <w:r>
              <w:rPr>
                <w:rFonts w:ascii="Aptos" w:hAnsi="Aptos"/>
                <w:b w:val="0"/>
                <w:color w:val="111827"/>
                <w:sz w:val="16"/>
              </w:rPr>
              <w:t>How will we know the system is moving?</w:t>
            </w:r>
          </w:p>
        </w:tc>
        <w:tc>
          <w:tcPr>
            <w:tcW w:type="dxa" w:w="3389"/>
            <w:vAlign w:val="center"/>
            <w:shd w:fill="F9FAFB"/>
          </w:tcPr>
          <w:p>
            <w:pPr>
              <w:spacing w:after="0"/>
            </w:pPr>
            <w:r/>
            <w:r>
              <w:rPr>
                <w:rFonts w:ascii="Aptos" w:hAnsi="Aptos"/>
                <w:b w:val="0"/>
                <w:color w:val="111827"/>
                <w:sz w:val="16"/>
              </w:rPr>
              <w:t>Leading, pipeline and outcome KPIs.</w:t>
            </w:r>
          </w:p>
        </w:tc>
      </w:tr>
      <w:tr>
        <w:tc>
          <w:tcPr>
            <w:tcW w:type="dxa" w:w="3389"/>
            <w:vAlign w:val="center"/>
          </w:tcPr>
          <w:p>
            <w:pPr>
              <w:spacing w:after="0"/>
            </w:pPr>
            <w:r/>
            <w:r>
              <w:rPr>
                <w:rFonts w:ascii="Aptos" w:hAnsi="Aptos"/>
                <w:b w:val="0"/>
                <w:color w:val="111827"/>
                <w:sz w:val="16"/>
              </w:rPr>
              <w:t>7. Governance</w:t>
            </w:r>
          </w:p>
        </w:tc>
        <w:tc>
          <w:tcPr>
            <w:tcW w:type="dxa" w:w="3389"/>
            <w:vAlign w:val="center"/>
          </w:tcPr>
          <w:p>
            <w:pPr>
              <w:spacing w:after="0"/>
            </w:pPr>
            <w:r/>
            <w:r>
              <w:rPr>
                <w:rFonts w:ascii="Aptos" w:hAnsi="Aptos"/>
                <w:b w:val="0"/>
                <w:color w:val="111827"/>
                <w:sz w:val="16"/>
              </w:rPr>
              <w:t>How will decisions, execution and corrections be managed?</w:t>
            </w:r>
          </w:p>
        </w:tc>
        <w:tc>
          <w:tcPr>
            <w:tcW w:type="dxa" w:w="3389"/>
            <w:vAlign w:val="center"/>
          </w:tcPr>
          <w:p>
            <w:pPr>
              <w:spacing w:after="0"/>
            </w:pPr>
            <w:r/>
            <w:r>
              <w:rPr>
                <w:rFonts w:ascii="Aptos" w:hAnsi="Aptos"/>
                <w:b w:val="0"/>
                <w:color w:val="111827"/>
                <w:sz w:val="16"/>
              </w:rPr>
              <w:t>Operating cadence, ownership and review model.</w:t>
            </w:r>
          </w:p>
        </w:tc>
      </w:tr>
    </w:tbl>
    <w:p>
      <w:pPr>
        <w:spacing w:after="0"/>
      </w:pPr>
    </w:p>
    <w:p>
      <w:pPr>
        <w:pStyle w:val="Heading1"/>
      </w:pPr>
      <w:r>
        <w:t>11. Product Modules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Module</w:t>
            </w:r>
          </w:p>
        </w:tc>
        <w:tc>
          <w:tcPr>
            <w:tcW w:type="dxa" w:w="3389"/>
            <w:shd w:fill="111827"/>
            <w:vAlign w:val="center"/>
          </w:tcPr>
          <w:p>
            <w:pPr>
              <w:spacing w:after="0"/>
            </w:pPr>
            <w:r/>
            <w:r>
              <w:rPr>
                <w:rFonts w:ascii="Aptos" w:hAnsi="Aptos"/>
                <w:b/>
                <w:color w:val="FFFFFF"/>
                <w:sz w:val="16"/>
              </w:rPr>
              <w:t>Purpose</w:t>
            </w:r>
          </w:p>
        </w:tc>
        <w:tc>
          <w:tcPr>
            <w:tcW w:type="dxa" w:w="3389"/>
            <w:shd w:fill="111827"/>
            <w:vAlign w:val="center"/>
          </w:tcPr>
          <w:p>
            <w:pPr>
              <w:spacing w:after="0"/>
            </w:pPr>
            <w:r/>
            <w:r>
              <w:rPr>
                <w:rFonts w:ascii="Aptos" w:hAnsi="Aptos"/>
                <w:b/>
                <w:color w:val="FFFFFF"/>
                <w:sz w:val="16"/>
              </w:rPr>
              <w:t>Core deliverables</w:t>
            </w:r>
          </w:p>
        </w:tc>
      </w:tr>
      <w:tr>
        <w:tc>
          <w:tcPr>
            <w:tcW w:type="dxa" w:w="3389"/>
            <w:vAlign w:val="center"/>
          </w:tcPr>
          <w:p>
            <w:pPr>
              <w:spacing w:after="0"/>
            </w:pPr>
            <w:r/>
            <w:r>
              <w:rPr>
                <w:rFonts w:ascii="Aptos" w:hAnsi="Aptos"/>
                <w:b w:val="0"/>
                <w:color w:val="111827"/>
                <w:sz w:val="16"/>
              </w:rPr>
              <w:t>1. LQ™ Growth Audit</w:t>
            </w:r>
          </w:p>
        </w:tc>
        <w:tc>
          <w:tcPr>
            <w:tcW w:type="dxa" w:w="3389"/>
            <w:vAlign w:val="center"/>
          </w:tcPr>
          <w:p>
            <w:pPr>
              <w:spacing w:after="0"/>
            </w:pPr>
            <w:r/>
            <w:r>
              <w:rPr>
                <w:rFonts w:ascii="Aptos" w:hAnsi="Aptos"/>
                <w:b w:val="0"/>
                <w:color w:val="111827"/>
                <w:sz w:val="16"/>
              </w:rPr>
              <w:t>Establish current level and next-level gap.</w:t>
            </w:r>
          </w:p>
        </w:tc>
        <w:tc>
          <w:tcPr>
            <w:tcW w:type="dxa" w:w="3389"/>
            <w:vAlign w:val="center"/>
          </w:tcPr>
          <w:p>
            <w:pPr>
              <w:spacing w:after="0"/>
            </w:pPr>
            <w:r/>
            <w:r>
              <w:rPr>
                <w:rFonts w:ascii="Aptos" w:hAnsi="Aptos"/>
                <w:b w:val="0"/>
                <w:color w:val="111827"/>
                <w:sz w:val="16"/>
              </w:rPr>
              <w:t>Audit, baseline, heatmap, growth constraints, target outcomes.</w:t>
            </w:r>
          </w:p>
        </w:tc>
      </w:tr>
      <w:tr>
        <w:tc>
          <w:tcPr>
            <w:tcW w:type="dxa" w:w="3389"/>
            <w:vAlign w:val="center"/>
            <w:shd w:fill="F9FAFB"/>
          </w:tcPr>
          <w:p>
            <w:pPr>
              <w:spacing w:after="0"/>
            </w:pPr>
            <w:r/>
            <w:r>
              <w:rPr>
                <w:rFonts w:ascii="Aptos" w:hAnsi="Aptos"/>
                <w:b w:val="0"/>
                <w:color w:val="111827"/>
                <w:sz w:val="16"/>
              </w:rPr>
              <w:t>2. Market &amp; Customer Architecture</w:t>
            </w:r>
          </w:p>
        </w:tc>
        <w:tc>
          <w:tcPr>
            <w:tcW w:type="dxa" w:w="3389"/>
            <w:vAlign w:val="center"/>
            <w:shd w:fill="F9FAFB"/>
          </w:tcPr>
          <w:p>
            <w:pPr>
              <w:spacing w:after="0"/>
            </w:pPr>
            <w:r/>
            <w:r>
              <w:rPr>
                <w:rFonts w:ascii="Aptos" w:hAnsi="Aptos"/>
                <w:b w:val="0"/>
                <w:color w:val="111827"/>
                <w:sz w:val="16"/>
              </w:rPr>
              <w:t>Define who growth is for and why they buy.</w:t>
            </w:r>
          </w:p>
        </w:tc>
        <w:tc>
          <w:tcPr>
            <w:tcW w:type="dxa" w:w="3389"/>
            <w:vAlign w:val="center"/>
            <w:shd w:fill="F9FAFB"/>
          </w:tcPr>
          <w:p>
            <w:pPr>
              <w:spacing w:after="0"/>
            </w:pPr>
            <w:r/>
            <w:r>
              <w:rPr>
                <w:rFonts w:ascii="Aptos" w:hAnsi="Aptos"/>
                <w:b w:val="0"/>
                <w:color w:val="111827"/>
                <w:sz w:val="16"/>
              </w:rPr>
              <w:t>ICP, segments, need states, buying triggers, objections, journey and market priorities.</w:t>
            </w:r>
          </w:p>
        </w:tc>
      </w:tr>
      <w:tr>
        <w:tc>
          <w:tcPr>
            <w:tcW w:type="dxa" w:w="3389"/>
            <w:vAlign w:val="center"/>
          </w:tcPr>
          <w:p>
            <w:pPr>
              <w:spacing w:after="0"/>
            </w:pPr>
            <w:r/>
            <w:r>
              <w:rPr>
                <w:rFonts w:ascii="Aptos" w:hAnsi="Aptos"/>
                <w:b w:val="0"/>
                <w:color w:val="111827"/>
                <w:sz w:val="16"/>
              </w:rPr>
              <w:t>3. Brand &amp; Positioning Architecture</w:t>
            </w:r>
          </w:p>
        </w:tc>
        <w:tc>
          <w:tcPr>
            <w:tcW w:type="dxa" w:w="3389"/>
            <w:vAlign w:val="center"/>
          </w:tcPr>
          <w:p>
            <w:pPr>
              <w:spacing w:after="0"/>
            </w:pPr>
            <w:r/>
            <w:r>
              <w:rPr>
                <w:rFonts w:ascii="Aptos" w:hAnsi="Aptos"/>
                <w:b w:val="0"/>
                <w:color w:val="111827"/>
                <w:sz w:val="16"/>
              </w:rPr>
              <w:t>Create differentiated market meaning.</w:t>
            </w:r>
          </w:p>
        </w:tc>
        <w:tc>
          <w:tcPr>
            <w:tcW w:type="dxa" w:w="3389"/>
            <w:vAlign w:val="center"/>
          </w:tcPr>
          <w:p>
            <w:pPr>
              <w:spacing w:after="0"/>
            </w:pPr>
            <w:r/>
            <w:r>
              <w:rPr>
                <w:rFonts w:ascii="Aptos" w:hAnsi="Aptos"/>
                <w:b w:val="0"/>
                <w:color w:val="111827"/>
                <w:sz w:val="16"/>
              </w:rPr>
              <w:t>Positioning, value proposition, category, message hierarchy, offer and brand alignment.</w:t>
            </w:r>
          </w:p>
        </w:tc>
      </w:tr>
      <w:tr>
        <w:tc>
          <w:tcPr>
            <w:tcW w:type="dxa" w:w="3389"/>
            <w:vAlign w:val="center"/>
            <w:shd w:fill="F9FAFB"/>
          </w:tcPr>
          <w:p>
            <w:pPr>
              <w:spacing w:after="0"/>
            </w:pPr>
            <w:r/>
            <w:r>
              <w:rPr>
                <w:rFonts w:ascii="Aptos" w:hAnsi="Aptos"/>
                <w:b w:val="0"/>
                <w:color w:val="111827"/>
                <w:sz w:val="16"/>
              </w:rPr>
              <w:t>4. Presence &amp; Conversion Architecture</w:t>
            </w:r>
          </w:p>
        </w:tc>
        <w:tc>
          <w:tcPr>
            <w:tcW w:type="dxa" w:w="3389"/>
            <w:vAlign w:val="center"/>
            <w:shd w:fill="F9FAFB"/>
          </w:tcPr>
          <w:p>
            <w:pPr>
              <w:spacing w:after="0"/>
            </w:pPr>
            <w:r/>
            <w:r>
              <w:rPr>
                <w:rFonts w:ascii="Aptos" w:hAnsi="Aptos"/>
                <w:b w:val="0"/>
                <w:color w:val="111827"/>
                <w:sz w:val="16"/>
              </w:rPr>
              <w:t>Make the business easy to understand and act upon.</w:t>
            </w:r>
          </w:p>
        </w:tc>
        <w:tc>
          <w:tcPr>
            <w:tcW w:type="dxa" w:w="3389"/>
            <w:vAlign w:val="center"/>
            <w:shd w:fill="F9FAFB"/>
          </w:tcPr>
          <w:p>
            <w:pPr>
              <w:spacing w:after="0"/>
            </w:pPr>
            <w:r/>
            <w:r>
              <w:rPr>
                <w:rFonts w:ascii="Aptos" w:hAnsi="Aptos"/>
                <w:b w:val="0"/>
                <w:color w:val="111827"/>
                <w:sz w:val="16"/>
              </w:rPr>
              <w:t>Touchpoint roles, digital presence, journeys, CTAs, proof, lead capture and conversion blueprint.</w:t>
            </w:r>
          </w:p>
        </w:tc>
      </w:tr>
      <w:tr>
        <w:tc>
          <w:tcPr>
            <w:tcW w:type="dxa" w:w="3389"/>
            <w:vAlign w:val="center"/>
          </w:tcPr>
          <w:p>
            <w:pPr>
              <w:spacing w:after="0"/>
            </w:pPr>
            <w:r/>
            <w:r>
              <w:rPr>
                <w:rFonts w:ascii="Aptos" w:hAnsi="Aptos"/>
                <w:b w:val="0"/>
                <w:color w:val="111827"/>
                <w:sz w:val="16"/>
              </w:rPr>
              <w:t>5. Awareness &amp; Demand Architecture</w:t>
            </w:r>
          </w:p>
        </w:tc>
        <w:tc>
          <w:tcPr>
            <w:tcW w:type="dxa" w:w="3389"/>
            <w:vAlign w:val="center"/>
          </w:tcPr>
          <w:p>
            <w:pPr>
              <w:spacing w:after="0"/>
            </w:pPr>
            <w:r/>
            <w:r>
              <w:rPr>
                <w:rFonts w:ascii="Aptos" w:hAnsi="Aptos"/>
                <w:b w:val="0"/>
                <w:color w:val="111827"/>
                <w:sz w:val="16"/>
              </w:rPr>
              <w:t>Create qualified visibility and demand.</w:t>
            </w:r>
          </w:p>
        </w:tc>
        <w:tc>
          <w:tcPr>
            <w:tcW w:type="dxa" w:w="3389"/>
            <w:vAlign w:val="center"/>
          </w:tcPr>
          <w:p>
            <w:pPr>
              <w:spacing w:after="0"/>
            </w:pPr>
            <w:r/>
            <w:r>
              <w:rPr>
                <w:rFonts w:ascii="Aptos" w:hAnsi="Aptos"/>
                <w:b w:val="0"/>
                <w:color w:val="111827"/>
                <w:sz w:val="16"/>
              </w:rPr>
              <w:t>Channel portfolio, campaign logic, partnerships, earned/owned/paid roles and demand roadmap.</w:t>
            </w:r>
          </w:p>
        </w:tc>
      </w:tr>
      <w:tr>
        <w:tc>
          <w:tcPr>
            <w:tcW w:type="dxa" w:w="3389"/>
            <w:vAlign w:val="center"/>
            <w:shd w:fill="F9FAFB"/>
          </w:tcPr>
          <w:p>
            <w:pPr>
              <w:spacing w:after="0"/>
            </w:pPr>
            <w:r/>
            <w:r>
              <w:rPr>
                <w:rFonts w:ascii="Aptos" w:hAnsi="Aptos"/>
                <w:b w:val="0"/>
                <w:color w:val="111827"/>
                <w:sz w:val="16"/>
              </w:rPr>
              <w:t>6. Nurture &amp; Sales Integration</w:t>
            </w:r>
          </w:p>
        </w:tc>
        <w:tc>
          <w:tcPr>
            <w:tcW w:type="dxa" w:w="3389"/>
            <w:vAlign w:val="center"/>
            <w:shd w:fill="F9FAFB"/>
          </w:tcPr>
          <w:p>
            <w:pPr>
              <w:spacing w:after="0"/>
            </w:pPr>
            <w:r/>
            <w:r>
              <w:rPr>
                <w:rFonts w:ascii="Aptos" w:hAnsi="Aptos"/>
                <w:b w:val="0"/>
                <w:color w:val="111827"/>
                <w:sz w:val="16"/>
              </w:rPr>
              <w:t>Progress demand into qualified opportunity.</w:t>
            </w:r>
          </w:p>
        </w:tc>
        <w:tc>
          <w:tcPr>
            <w:tcW w:type="dxa" w:w="3389"/>
            <w:vAlign w:val="center"/>
            <w:shd w:fill="F9FAFB"/>
          </w:tcPr>
          <w:p>
            <w:pPr>
              <w:spacing w:after="0"/>
            </w:pPr>
            <w:r/>
            <w:r>
              <w:rPr>
                <w:rFonts w:ascii="Aptos" w:hAnsi="Aptos"/>
                <w:b w:val="0"/>
                <w:color w:val="111827"/>
                <w:sz w:val="16"/>
              </w:rPr>
              <w:t>Nurture journeys, CRM logic, qualification, sales handoff, enablement and feedback loops.</w:t>
            </w:r>
          </w:p>
        </w:tc>
      </w:tr>
      <w:tr>
        <w:tc>
          <w:tcPr>
            <w:tcW w:type="dxa" w:w="3389"/>
            <w:vAlign w:val="center"/>
          </w:tcPr>
          <w:p>
            <w:pPr>
              <w:spacing w:after="0"/>
            </w:pPr>
            <w:r/>
            <w:r>
              <w:rPr>
                <w:rFonts w:ascii="Aptos" w:hAnsi="Aptos"/>
                <w:b w:val="0"/>
                <w:color w:val="111827"/>
                <w:sz w:val="16"/>
              </w:rPr>
              <w:t>7. Discoverability, Trust &amp; Authority</w:t>
            </w:r>
          </w:p>
        </w:tc>
        <w:tc>
          <w:tcPr>
            <w:tcW w:type="dxa" w:w="3389"/>
            <w:vAlign w:val="center"/>
          </w:tcPr>
          <w:p>
            <w:pPr>
              <w:spacing w:after="0"/>
            </w:pPr>
            <w:r/>
            <w:r>
              <w:rPr>
                <w:rFonts w:ascii="Aptos" w:hAnsi="Aptos"/>
                <w:b w:val="0"/>
                <w:color w:val="111827"/>
                <w:sz w:val="16"/>
              </w:rPr>
              <w:t>Reduce buyer uncertainty and increase preference.</w:t>
            </w:r>
          </w:p>
        </w:tc>
        <w:tc>
          <w:tcPr>
            <w:tcW w:type="dxa" w:w="3389"/>
            <w:vAlign w:val="center"/>
          </w:tcPr>
          <w:p>
            <w:pPr>
              <w:spacing w:after="0"/>
            </w:pPr>
            <w:r/>
            <w:r>
              <w:rPr>
                <w:rFonts w:ascii="Aptos" w:hAnsi="Aptos"/>
                <w:b w:val="0"/>
                <w:color w:val="111827"/>
                <w:sz w:val="16"/>
              </w:rPr>
              <w:t>Search/reputation blueprint, proof architecture, cases, media, thought leadership and trust assets.</w:t>
            </w:r>
          </w:p>
        </w:tc>
      </w:tr>
      <w:tr>
        <w:tc>
          <w:tcPr>
            <w:tcW w:type="dxa" w:w="3389"/>
            <w:vAlign w:val="center"/>
            <w:shd w:fill="F9FAFB"/>
          </w:tcPr>
          <w:p>
            <w:pPr>
              <w:spacing w:after="0"/>
            </w:pPr>
            <w:r/>
            <w:r>
              <w:rPr>
                <w:rFonts w:ascii="Aptos" w:hAnsi="Aptos"/>
                <w:b w:val="0"/>
                <w:color w:val="111827"/>
                <w:sz w:val="16"/>
              </w:rPr>
              <w:t>8. Scale &amp; Growth Economics</w:t>
            </w:r>
          </w:p>
        </w:tc>
        <w:tc>
          <w:tcPr>
            <w:tcW w:type="dxa" w:w="3389"/>
            <w:vAlign w:val="center"/>
            <w:shd w:fill="F9FAFB"/>
          </w:tcPr>
          <w:p>
            <w:pPr>
              <w:spacing w:after="0"/>
            </w:pPr>
            <w:r/>
            <w:r>
              <w:rPr>
                <w:rFonts w:ascii="Aptos" w:hAnsi="Aptos"/>
                <w:b w:val="0"/>
                <w:color w:val="111827"/>
                <w:sz w:val="16"/>
              </w:rPr>
              <w:t>Prepare the system for repeatable growth.</w:t>
            </w:r>
          </w:p>
        </w:tc>
        <w:tc>
          <w:tcPr>
            <w:tcW w:type="dxa" w:w="3389"/>
            <w:vAlign w:val="center"/>
            <w:shd w:fill="F9FAFB"/>
          </w:tcPr>
          <w:p>
            <w:pPr>
              <w:spacing w:after="0"/>
            </w:pPr>
            <w:r/>
            <w:r>
              <w:rPr>
                <w:rFonts w:ascii="Aptos" w:hAnsi="Aptos"/>
                <w:b w:val="0"/>
                <w:color w:val="111827"/>
                <w:sz w:val="16"/>
              </w:rPr>
              <w:t>KPI tree, budget logic, experiments, CAC/conversion considerations, capacity dependencies and scale priorities.</w:t>
            </w:r>
          </w:p>
        </w:tc>
      </w:tr>
      <w:tr>
        <w:tc>
          <w:tcPr>
            <w:tcW w:type="dxa" w:w="3389"/>
            <w:vAlign w:val="center"/>
          </w:tcPr>
          <w:p>
            <w:pPr>
              <w:spacing w:after="0"/>
            </w:pPr>
            <w:r/>
            <w:r>
              <w:rPr>
                <w:rFonts w:ascii="Aptos" w:hAnsi="Aptos"/>
                <w:b w:val="0"/>
                <w:color w:val="111827"/>
                <w:sz w:val="16"/>
              </w:rPr>
              <w:t>9. Governance Blueprint</w:t>
            </w:r>
          </w:p>
        </w:tc>
        <w:tc>
          <w:tcPr>
            <w:tcW w:type="dxa" w:w="3389"/>
            <w:vAlign w:val="center"/>
          </w:tcPr>
          <w:p>
            <w:pPr>
              <w:spacing w:after="0"/>
            </w:pPr>
            <w:r/>
            <w:r>
              <w:rPr>
                <w:rFonts w:ascii="Aptos" w:hAnsi="Aptos"/>
                <w:b w:val="0"/>
                <w:color w:val="111827"/>
                <w:sz w:val="16"/>
              </w:rPr>
              <w:t>Coordinate internal teams and external specialists.</w:t>
            </w:r>
          </w:p>
        </w:tc>
        <w:tc>
          <w:tcPr>
            <w:tcW w:type="dxa" w:w="3389"/>
            <w:vAlign w:val="center"/>
          </w:tcPr>
          <w:p>
            <w:pPr>
              <w:spacing w:after="0"/>
            </w:pPr>
            <w:r/>
            <w:r>
              <w:rPr>
                <w:rFonts w:ascii="Aptos" w:hAnsi="Aptos"/>
                <w:b w:val="0"/>
                <w:color w:val="111827"/>
                <w:sz w:val="16"/>
              </w:rPr>
              <w:t>Owners, RACI/decision rights, review cadence, reporting, vendor briefs, approval standards and corrective-action process.</w:t>
            </w:r>
          </w:p>
        </w:tc>
      </w:tr>
    </w:tbl>
    <w:p>
      <w:pPr>
        <w:spacing w:after="0"/>
      </w:pPr>
    </w:p>
    <w:p>
      <w:pPr>
        <w:pStyle w:val="Heading1"/>
      </w:pPr>
      <w:r>
        <w:t>12. Master Deliverable Library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Deliverable</w:t>
            </w:r>
          </w:p>
        </w:tc>
        <w:tc>
          <w:tcPr>
            <w:tcW w:type="dxa" w:w="3389"/>
            <w:shd w:fill="111827"/>
            <w:vAlign w:val="center"/>
          </w:tcPr>
          <w:p>
            <w:pPr>
              <w:spacing w:after="0"/>
            </w:pPr>
            <w:r/>
            <w:r>
              <w:rPr>
                <w:rFonts w:ascii="Aptos" w:hAnsi="Aptos"/>
                <w:b/>
                <w:color w:val="FFFFFF"/>
                <w:sz w:val="16"/>
              </w:rPr>
              <w:t>Purpose</w:t>
            </w:r>
          </w:p>
        </w:tc>
        <w:tc>
          <w:tcPr>
            <w:tcW w:type="dxa" w:w="3389"/>
            <w:shd w:fill="111827"/>
            <w:vAlign w:val="center"/>
          </w:tcPr>
          <w:p>
            <w:pPr>
              <w:spacing w:after="0"/>
            </w:pPr>
            <w:r/>
            <w:r>
              <w:rPr>
                <w:rFonts w:ascii="Aptos" w:hAnsi="Aptos"/>
                <w:b/>
                <w:color w:val="FFFFFF"/>
                <w:sz w:val="16"/>
              </w:rPr>
              <w:t>Primary framework link</w:t>
            </w:r>
          </w:p>
        </w:tc>
      </w:tr>
      <w:tr>
        <w:tc>
          <w:tcPr>
            <w:tcW w:type="dxa" w:w="3389"/>
            <w:vAlign w:val="center"/>
          </w:tcPr>
          <w:p>
            <w:pPr>
              <w:spacing w:after="0"/>
            </w:pPr>
            <w:r/>
            <w:r>
              <w:rPr>
                <w:rFonts w:ascii="Aptos" w:hAnsi="Aptos"/>
                <w:b w:val="0"/>
                <w:color w:val="111827"/>
                <w:sz w:val="16"/>
              </w:rPr>
              <w:t>LQ™ Growth Audit</w:t>
            </w:r>
          </w:p>
        </w:tc>
        <w:tc>
          <w:tcPr>
            <w:tcW w:type="dxa" w:w="3389"/>
            <w:vAlign w:val="center"/>
          </w:tcPr>
          <w:p>
            <w:pPr>
              <w:spacing w:after="0"/>
            </w:pPr>
            <w:r/>
            <w:r>
              <w:rPr>
                <w:rFonts w:ascii="Aptos" w:hAnsi="Aptos"/>
                <w:b w:val="0"/>
                <w:color w:val="111827"/>
                <w:sz w:val="16"/>
              </w:rPr>
              <w:t>Diagnose the current level across critical growth domains.</w:t>
            </w:r>
          </w:p>
        </w:tc>
        <w:tc>
          <w:tcPr>
            <w:tcW w:type="dxa" w:w="3389"/>
            <w:vAlign w:val="center"/>
          </w:tcPr>
          <w:p>
            <w:pPr>
              <w:spacing w:after="0"/>
            </w:pPr>
            <w:r/>
            <w:r>
              <w:rPr>
                <w:rFonts w:ascii="Aptos" w:hAnsi="Aptos"/>
                <w:b w:val="0"/>
                <w:color w:val="111827"/>
                <w:sz w:val="16"/>
              </w:rPr>
              <w:t>All PEAK</w:t>
            </w:r>
          </w:p>
        </w:tc>
      </w:tr>
      <w:tr>
        <w:tc>
          <w:tcPr>
            <w:tcW w:type="dxa" w:w="3389"/>
            <w:vAlign w:val="center"/>
            <w:shd w:fill="F9FAFB"/>
          </w:tcPr>
          <w:p>
            <w:pPr>
              <w:spacing w:after="0"/>
            </w:pPr>
            <w:r/>
            <w:r>
              <w:rPr>
                <w:rFonts w:ascii="Aptos" w:hAnsi="Aptos"/>
                <w:b w:val="0"/>
                <w:color w:val="111827"/>
                <w:sz w:val="16"/>
              </w:rPr>
              <w:t>Next-Level Definition</w:t>
            </w:r>
          </w:p>
        </w:tc>
        <w:tc>
          <w:tcPr>
            <w:tcW w:type="dxa" w:w="3389"/>
            <w:vAlign w:val="center"/>
            <w:shd w:fill="F9FAFB"/>
          </w:tcPr>
          <w:p>
            <w:pPr>
              <w:spacing w:after="0"/>
            </w:pPr>
            <w:r/>
            <w:r>
              <w:rPr>
                <w:rFonts w:ascii="Aptos" w:hAnsi="Aptos"/>
                <w:b w:val="0"/>
                <w:color w:val="111827"/>
                <w:sz w:val="16"/>
              </w:rPr>
              <w:t>Translate ambition into explicit measurable target state.</w:t>
            </w:r>
          </w:p>
        </w:tc>
        <w:tc>
          <w:tcPr>
            <w:tcW w:type="dxa" w:w="3389"/>
            <w:vAlign w:val="center"/>
            <w:shd w:fill="F9FAFB"/>
          </w:tcPr>
          <w:p>
            <w:pPr>
              <w:spacing w:after="0"/>
            </w:pPr>
            <w:r/>
            <w:r>
              <w:rPr>
                <w:rFonts w:ascii="Aptos" w:hAnsi="Aptos"/>
                <w:b w:val="0"/>
                <w:color w:val="111827"/>
                <w:sz w:val="16"/>
              </w:rPr>
              <w:t>Kinetic Growth</w:t>
            </w:r>
          </w:p>
        </w:tc>
      </w:tr>
      <w:tr>
        <w:tc>
          <w:tcPr>
            <w:tcW w:type="dxa" w:w="3389"/>
            <w:vAlign w:val="center"/>
          </w:tcPr>
          <w:p>
            <w:pPr>
              <w:spacing w:after="0"/>
            </w:pPr>
            <w:r/>
            <w:r>
              <w:rPr>
                <w:rFonts w:ascii="Aptos" w:hAnsi="Aptos"/>
                <w:b w:val="0"/>
                <w:color w:val="111827"/>
                <w:sz w:val="16"/>
              </w:rPr>
              <w:t>Growth Gap Heatmap</w:t>
            </w:r>
          </w:p>
        </w:tc>
        <w:tc>
          <w:tcPr>
            <w:tcW w:type="dxa" w:w="3389"/>
            <w:vAlign w:val="center"/>
          </w:tcPr>
          <w:p>
            <w:pPr>
              <w:spacing w:after="0"/>
            </w:pPr>
            <w:r/>
            <w:r>
              <w:rPr>
                <w:rFonts w:ascii="Aptos" w:hAnsi="Aptos"/>
                <w:b w:val="0"/>
                <w:color w:val="111827"/>
                <w:sz w:val="16"/>
              </w:rPr>
              <w:t>Prioritise constraints by impact, urgency and dependency.</w:t>
            </w:r>
          </w:p>
        </w:tc>
        <w:tc>
          <w:tcPr>
            <w:tcW w:type="dxa" w:w="3389"/>
            <w:vAlign w:val="center"/>
          </w:tcPr>
          <w:p>
            <w:pPr>
              <w:spacing w:after="0"/>
            </w:pPr>
            <w:r/>
            <w:r>
              <w:rPr>
                <w:rFonts w:ascii="Aptos" w:hAnsi="Aptos"/>
                <w:b w:val="0"/>
                <w:color w:val="111827"/>
                <w:sz w:val="16"/>
              </w:rPr>
              <w:t>All</w:t>
            </w:r>
          </w:p>
        </w:tc>
      </w:tr>
      <w:tr>
        <w:tc>
          <w:tcPr>
            <w:tcW w:type="dxa" w:w="3389"/>
            <w:vAlign w:val="center"/>
            <w:shd w:fill="F9FAFB"/>
          </w:tcPr>
          <w:p>
            <w:pPr>
              <w:spacing w:after="0"/>
            </w:pPr>
            <w:r/>
            <w:r>
              <w:rPr>
                <w:rFonts w:ascii="Aptos" w:hAnsi="Aptos"/>
                <w:b w:val="0"/>
                <w:color w:val="111827"/>
                <w:sz w:val="16"/>
              </w:rPr>
              <w:t>ICP &amp; Market Blueprint</w:t>
            </w:r>
          </w:p>
        </w:tc>
        <w:tc>
          <w:tcPr>
            <w:tcW w:type="dxa" w:w="3389"/>
            <w:vAlign w:val="center"/>
            <w:shd w:fill="F9FAFB"/>
          </w:tcPr>
          <w:p>
            <w:pPr>
              <w:spacing w:after="0"/>
            </w:pPr>
            <w:r/>
            <w:r>
              <w:rPr>
                <w:rFonts w:ascii="Aptos" w:hAnsi="Aptos"/>
                <w:b w:val="0"/>
                <w:color w:val="111827"/>
                <w:sz w:val="16"/>
              </w:rPr>
              <w:t>Define target customers, segments, triggers and market priorities.</w:t>
            </w:r>
          </w:p>
        </w:tc>
        <w:tc>
          <w:tcPr>
            <w:tcW w:type="dxa" w:w="3389"/>
            <w:vAlign w:val="center"/>
            <w:shd w:fill="F9FAFB"/>
          </w:tcPr>
          <w:p>
            <w:pPr>
              <w:spacing w:after="0"/>
            </w:pPr>
            <w:r/>
            <w:r>
              <w:rPr>
                <w:rFonts w:ascii="Aptos" w:hAnsi="Aptos"/>
                <w:b w:val="0"/>
                <w:color w:val="111827"/>
                <w:sz w:val="16"/>
              </w:rPr>
              <w:t>Presence / Equity</w:t>
            </w:r>
          </w:p>
        </w:tc>
      </w:tr>
      <w:tr>
        <w:tc>
          <w:tcPr>
            <w:tcW w:type="dxa" w:w="3389"/>
            <w:vAlign w:val="center"/>
          </w:tcPr>
          <w:p>
            <w:pPr>
              <w:spacing w:after="0"/>
            </w:pPr>
            <w:r/>
            <w:r>
              <w:rPr>
                <w:rFonts w:ascii="Aptos" w:hAnsi="Aptos"/>
                <w:b w:val="0"/>
                <w:color w:val="111827"/>
                <w:sz w:val="16"/>
              </w:rPr>
              <w:t>Positioning Blueprint</w:t>
            </w:r>
          </w:p>
        </w:tc>
        <w:tc>
          <w:tcPr>
            <w:tcW w:type="dxa" w:w="3389"/>
            <w:vAlign w:val="center"/>
          </w:tcPr>
          <w:p>
            <w:pPr>
              <w:spacing w:after="0"/>
            </w:pPr>
            <w:r/>
            <w:r>
              <w:rPr>
                <w:rFonts w:ascii="Aptos" w:hAnsi="Aptos"/>
                <w:b w:val="0"/>
                <w:color w:val="111827"/>
                <w:sz w:val="16"/>
              </w:rPr>
              <w:t>Define category, value proposition, differentiation and messaging.</w:t>
            </w:r>
          </w:p>
        </w:tc>
        <w:tc>
          <w:tcPr>
            <w:tcW w:type="dxa" w:w="3389"/>
            <w:vAlign w:val="center"/>
          </w:tcPr>
          <w:p>
            <w:pPr>
              <w:spacing w:after="0"/>
            </w:pPr>
            <w:r/>
            <w:r>
              <w:rPr>
                <w:rFonts w:ascii="Aptos" w:hAnsi="Aptos"/>
                <w:b w:val="0"/>
                <w:color w:val="111827"/>
                <w:sz w:val="16"/>
              </w:rPr>
              <w:t>Presence / Equity</w:t>
            </w:r>
          </w:p>
        </w:tc>
      </w:tr>
      <w:tr>
        <w:tc>
          <w:tcPr>
            <w:tcW w:type="dxa" w:w="3389"/>
            <w:vAlign w:val="center"/>
            <w:shd w:fill="F9FAFB"/>
          </w:tcPr>
          <w:p>
            <w:pPr>
              <w:spacing w:after="0"/>
            </w:pPr>
            <w:r/>
            <w:r>
              <w:rPr>
                <w:rFonts w:ascii="Aptos" w:hAnsi="Aptos"/>
                <w:b w:val="0"/>
                <w:color w:val="111827"/>
                <w:sz w:val="16"/>
              </w:rPr>
              <w:t>Offer Architecture</w:t>
            </w:r>
          </w:p>
        </w:tc>
        <w:tc>
          <w:tcPr>
            <w:tcW w:type="dxa" w:w="3389"/>
            <w:vAlign w:val="center"/>
            <w:shd w:fill="F9FAFB"/>
          </w:tcPr>
          <w:p>
            <w:pPr>
              <w:spacing w:after="0"/>
            </w:pPr>
            <w:r/>
            <w:r>
              <w:rPr>
                <w:rFonts w:ascii="Aptos" w:hAnsi="Aptos"/>
                <w:b w:val="0"/>
                <w:color w:val="111827"/>
                <w:sz w:val="16"/>
              </w:rPr>
              <w:t>Clarify offers, packaging logic, value and conversion role.</w:t>
            </w:r>
          </w:p>
        </w:tc>
        <w:tc>
          <w:tcPr>
            <w:tcW w:type="dxa" w:w="3389"/>
            <w:vAlign w:val="center"/>
            <w:shd w:fill="F9FAFB"/>
          </w:tcPr>
          <w:p>
            <w:pPr>
              <w:spacing w:after="0"/>
            </w:pPr>
            <w:r/>
            <w:r>
              <w:rPr>
                <w:rFonts w:ascii="Aptos" w:hAnsi="Aptos"/>
                <w:b w:val="0"/>
                <w:color w:val="111827"/>
                <w:sz w:val="16"/>
              </w:rPr>
              <w:t>Equity / Kinetic</w:t>
            </w:r>
          </w:p>
        </w:tc>
      </w:tr>
      <w:tr>
        <w:tc>
          <w:tcPr>
            <w:tcW w:type="dxa" w:w="3389"/>
            <w:vAlign w:val="center"/>
          </w:tcPr>
          <w:p>
            <w:pPr>
              <w:spacing w:after="0"/>
            </w:pPr>
            <w:r/>
            <w:r>
              <w:rPr>
                <w:rFonts w:ascii="Aptos" w:hAnsi="Aptos"/>
                <w:b w:val="0"/>
                <w:color w:val="111827"/>
                <w:sz w:val="16"/>
              </w:rPr>
              <w:t>Customer Journey Map</w:t>
            </w:r>
          </w:p>
        </w:tc>
        <w:tc>
          <w:tcPr>
            <w:tcW w:type="dxa" w:w="3389"/>
            <w:vAlign w:val="center"/>
          </w:tcPr>
          <w:p>
            <w:pPr>
              <w:spacing w:after="0"/>
            </w:pPr>
            <w:r/>
            <w:r>
              <w:rPr>
                <w:rFonts w:ascii="Aptos" w:hAnsi="Aptos"/>
                <w:b w:val="0"/>
                <w:color w:val="111827"/>
                <w:sz w:val="16"/>
              </w:rPr>
              <w:t>Map awareness-to-conversion and post-conversion stages.</w:t>
            </w:r>
          </w:p>
        </w:tc>
        <w:tc>
          <w:tcPr>
            <w:tcW w:type="dxa" w:w="3389"/>
            <w:vAlign w:val="center"/>
          </w:tcPr>
          <w:p>
            <w:pPr>
              <w:spacing w:after="0"/>
            </w:pPr>
            <w:r/>
            <w:r>
              <w:rPr>
                <w:rFonts w:ascii="Aptos" w:hAnsi="Aptos"/>
                <w:b w:val="0"/>
                <w:color w:val="111827"/>
                <w:sz w:val="16"/>
              </w:rPr>
              <w:t>All</w:t>
            </w:r>
          </w:p>
        </w:tc>
      </w:tr>
      <w:tr>
        <w:tc>
          <w:tcPr>
            <w:tcW w:type="dxa" w:w="3389"/>
            <w:vAlign w:val="center"/>
            <w:shd w:fill="F9FAFB"/>
          </w:tcPr>
          <w:p>
            <w:pPr>
              <w:spacing w:after="0"/>
            </w:pPr>
            <w:r/>
            <w:r>
              <w:rPr>
                <w:rFonts w:ascii="Aptos" w:hAnsi="Aptos"/>
                <w:b w:val="0"/>
                <w:color w:val="111827"/>
                <w:sz w:val="16"/>
              </w:rPr>
              <w:t>Presence Architecture</w:t>
            </w:r>
          </w:p>
        </w:tc>
        <w:tc>
          <w:tcPr>
            <w:tcW w:type="dxa" w:w="3389"/>
            <w:vAlign w:val="center"/>
            <w:shd w:fill="F9FAFB"/>
          </w:tcPr>
          <w:p>
            <w:pPr>
              <w:spacing w:after="0"/>
            </w:pPr>
            <w:r/>
            <w:r>
              <w:rPr>
                <w:rFonts w:ascii="Aptos" w:hAnsi="Aptos"/>
                <w:b w:val="0"/>
                <w:color w:val="111827"/>
                <w:sz w:val="16"/>
              </w:rPr>
              <w:t>Define role and consistency of market touchpoints.</w:t>
            </w:r>
          </w:p>
        </w:tc>
        <w:tc>
          <w:tcPr>
            <w:tcW w:type="dxa" w:w="3389"/>
            <w:vAlign w:val="center"/>
            <w:shd w:fill="F9FAFB"/>
          </w:tcPr>
          <w:p>
            <w:pPr>
              <w:spacing w:after="0"/>
            </w:pPr>
            <w:r/>
            <w:r>
              <w:rPr>
                <w:rFonts w:ascii="Aptos" w:hAnsi="Aptos"/>
                <w:b w:val="0"/>
                <w:color w:val="111827"/>
                <w:sz w:val="16"/>
              </w:rPr>
              <w:t>Presence</w:t>
            </w:r>
          </w:p>
        </w:tc>
      </w:tr>
      <w:tr>
        <w:tc>
          <w:tcPr>
            <w:tcW w:type="dxa" w:w="3389"/>
            <w:vAlign w:val="center"/>
          </w:tcPr>
          <w:p>
            <w:pPr>
              <w:spacing w:after="0"/>
            </w:pPr>
            <w:r/>
            <w:r>
              <w:rPr>
                <w:rFonts w:ascii="Aptos" w:hAnsi="Aptos"/>
                <w:b w:val="0"/>
                <w:color w:val="111827"/>
                <w:sz w:val="16"/>
              </w:rPr>
              <w:t>Conversion Readiness Blueprint</w:t>
            </w:r>
          </w:p>
        </w:tc>
        <w:tc>
          <w:tcPr>
            <w:tcW w:type="dxa" w:w="3389"/>
            <w:vAlign w:val="center"/>
          </w:tcPr>
          <w:p>
            <w:pPr>
              <w:spacing w:after="0"/>
            </w:pPr>
            <w:r/>
            <w:r>
              <w:rPr>
                <w:rFonts w:ascii="Aptos" w:hAnsi="Aptos"/>
                <w:b w:val="0"/>
                <w:color w:val="111827"/>
                <w:sz w:val="16"/>
              </w:rPr>
              <w:t>Fix friction between attention, enquiry and sales action.</w:t>
            </w:r>
          </w:p>
        </w:tc>
        <w:tc>
          <w:tcPr>
            <w:tcW w:type="dxa" w:w="3389"/>
            <w:vAlign w:val="center"/>
          </w:tcPr>
          <w:p>
            <w:pPr>
              <w:spacing w:after="0"/>
            </w:pPr>
            <w:r/>
            <w:r>
              <w:rPr>
                <w:rFonts w:ascii="Aptos" w:hAnsi="Aptos"/>
                <w:b w:val="0"/>
                <w:color w:val="111827"/>
                <w:sz w:val="16"/>
              </w:rPr>
              <w:t>Presence / Kinetic</w:t>
            </w:r>
          </w:p>
        </w:tc>
      </w:tr>
      <w:tr>
        <w:tc>
          <w:tcPr>
            <w:tcW w:type="dxa" w:w="3389"/>
            <w:vAlign w:val="center"/>
            <w:shd w:fill="F9FAFB"/>
          </w:tcPr>
          <w:p>
            <w:pPr>
              <w:spacing w:after="0"/>
            </w:pPr>
            <w:r/>
            <w:r>
              <w:rPr>
                <w:rFonts w:ascii="Aptos" w:hAnsi="Aptos"/>
                <w:b w:val="0"/>
                <w:color w:val="111827"/>
                <w:sz w:val="16"/>
              </w:rPr>
              <w:t>Awareness Architecture</w:t>
            </w:r>
          </w:p>
        </w:tc>
        <w:tc>
          <w:tcPr>
            <w:tcW w:type="dxa" w:w="3389"/>
            <w:vAlign w:val="center"/>
            <w:shd w:fill="F9FAFB"/>
          </w:tcPr>
          <w:p>
            <w:pPr>
              <w:spacing w:after="0"/>
            </w:pPr>
            <w:r/>
            <w:r>
              <w:rPr>
                <w:rFonts w:ascii="Aptos" w:hAnsi="Aptos"/>
                <w:b w:val="0"/>
                <w:color w:val="111827"/>
                <w:sz w:val="16"/>
              </w:rPr>
              <w:t>Design paid, earned, owned, partner and community reach.</w:t>
            </w:r>
          </w:p>
        </w:tc>
        <w:tc>
          <w:tcPr>
            <w:tcW w:type="dxa" w:w="3389"/>
            <w:vAlign w:val="center"/>
            <w:shd w:fill="F9FAFB"/>
          </w:tcPr>
          <w:p>
            <w:pPr>
              <w:spacing w:after="0"/>
            </w:pPr>
            <w:r/>
            <w:r>
              <w:rPr>
                <w:rFonts w:ascii="Aptos" w:hAnsi="Aptos"/>
                <w:b w:val="0"/>
                <w:color w:val="111827"/>
                <w:sz w:val="16"/>
              </w:rPr>
              <w:t>Presence</w:t>
            </w:r>
          </w:p>
        </w:tc>
      </w:tr>
      <w:tr>
        <w:tc>
          <w:tcPr>
            <w:tcW w:type="dxa" w:w="3389"/>
            <w:vAlign w:val="center"/>
          </w:tcPr>
          <w:p>
            <w:pPr>
              <w:spacing w:after="0"/>
            </w:pPr>
            <w:r/>
            <w:r>
              <w:rPr>
                <w:rFonts w:ascii="Aptos" w:hAnsi="Aptos"/>
                <w:b w:val="0"/>
                <w:color w:val="111827"/>
                <w:sz w:val="16"/>
              </w:rPr>
              <w:t>Nurture Architecture</w:t>
            </w:r>
          </w:p>
        </w:tc>
        <w:tc>
          <w:tcPr>
            <w:tcW w:type="dxa" w:w="3389"/>
            <w:vAlign w:val="center"/>
          </w:tcPr>
          <w:p>
            <w:pPr>
              <w:spacing w:after="0"/>
            </w:pPr>
            <w:r/>
            <w:r>
              <w:rPr>
                <w:rFonts w:ascii="Aptos" w:hAnsi="Aptos"/>
                <w:b w:val="0"/>
                <w:color w:val="111827"/>
                <w:sz w:val="16"/>
              </w:rPr>
              <w:t>Define education, follow-up, segmentation and progression.</w:t>
            </w:r>
          </w:p>
        </w:tc>
        <w:tc>
          <w:tcPr>
            <w:tcW w:type="dxa" w:w="3389"/>
            <w:vAlign w:val="center"/>
          </w:tcPr>
          <w:p>
            <w:pPr>
              <w:spacing w:after="0"/>
            </w:pPr>
            <w:r/>
            <w:r>
              <w:rPr>
                <w:rFonts w:ascii="Aptos" w:hAnsi="Aptos"/>
                <w:b w:val="0"/>
                <w:color w:val="111827"/>
                <w:sz w:val="16"/>
              </w:rPr>
              <w:t>Equity / Kinetic</w:t>
            </w:r>
          </w:p>
        </w:tc>
      </w:tr>
      <w:tr>
        <w:tc>
          <w:tcPr>
            <w:tcW w:type="dxa" w:w="3389"/>
            <w:vAlign w:val="center"/>
            <w:shd w:fill="F9FAFB"/>
          </w:tcPr>
          <w:p>
            <w:pPr>
              <w:spacing w:after="0"/>
            </w:pPr>
            <w:r/>
            <w:r>
              <w:rPr>
                <w:rFonts w:ascii="Aptos" w:hAnsi="Aptos"/>
                <w:b w:val="0"/>
                <w:color w:val="111827"/>
                <w:sz w:val="16"/>
              </w:rPr>
              <w:t>Discoverability Blueprint</w:t>
            </w:r>
          </w:p>
        </w:tc>
        <w:tc>
          <w:tcPr>
            <w:tcW w:type="dxa" w:w="3389"/>
            <w:vAlign w:val="center"/>
            <w:shd w:fill="F9FAFB"/>
          </w:tcPr>
          <w:p>
            <w:pPr>
              <w:spacing w:after="0"/>
            </w:pPr>
            <w:r/>
            <w:r>
              <w:rPr>
                <w:rFonts w:ascii="Aptos" w:hAnsi="Aptos"/>
                <w:b w:val="0"/>
                <w:color w:val="111827"/>
                <w:sz w:val="16"/>
              </w:rPr>
              <w:t>Improve organic findability and validation.</w:t>
            </w:r>
          </w:p>
        </w:tc>
        <w:tc>
          <w:tcPr>
            <w:tcW w:type="dxa" w:w="3389"/>
            <w:vAlign w:val="center"/>
            <w:shd w:fill="F9FAFB"/>
          </w:tcPr>
          <w:p>
            <w:pPr>
              <w:spacing w:after="0"/>
            </w:pPr>
            <w:r/>
            <w:r>
              <w:rPr>
                <w:rFonts w:ascii="Aptos" w:hAnsi="Aptos"/>
                <w:b w:val="0"/>
                <w:color w:val="111827"/>
                <w:sz w:val="16"/>
              </w:rPr>
              <w:t>Presence / Authority</w:t>
            </w:r>
          </w:p>
        </w:tc>
      </w:tr>
      <w:tr>
        <w:tc>
          <w:tcPr>
            <w:tcW w:type="dxa" w:w="3389"/>
            <w:vAlign w:val="center"/>
          </w:tcPr>
          <w:p>
            <w:pPr>
              <w:spacing w:after="0"/>
            </w:pPr>
            <w:r/>
            <w:r>
              <w:rPr>
                <w:rFonts w:ascii="Aptos" w:hAnsi="Aptos"/>
                <w:b w:val="0"/>
                <w:color w:val="111827"/>
                <w:sz w:val="16"/>
              </w:rPr>
              <w:t>Trust &amp; Proof Architecture</w:t>
            </w:r>
          </w:p>
        </w:tc>
        <w:tc>
          <w:tcPr>
            <w:tcW w:type="dxa" w:w="3389"/>
            <w:vAlign w:val="center"/>
          </w:tcPr>
          <w:p>
            <w:pPr>
              <w:spacing w:after="0"/>
            </w:pPr>
            <w:r/>
            <w:r>
              <w:rPr>
                <w:rFonts w:ascii="Aptos" w:hAnsi="Aptos"/>
                <w:b w:val="0"/>
                <w:color w:val="111827"/>
                <w:sz w:val="16"/>
              </w:rPr>
              <w:t>Structure cases, reviews, testimonials, credentials and validation.</w:t>
            </w:r>
          </w:p>
        </w:tc>
        <w:tc>
          <w:tcPr>
            <w:tcW w:type="dxa" w:w="3389"/>
            <w:vAlign w:val="center"/>
          </w:tcPr>
          <w:p>
            <w:pPr>
              <w:spacing w:after="0"/>
            </w:pPr>
            <w:r/>
            <w:r>
              <w:rPr>
                <w:rFonts w:ascii="Aptos" w:hAnsi="Aptos"/>
                <w:b w:val="0"/>
                <w:color w:val="111827"/>
                <w:sz w:val="16"/>
              </w:rPr>
              <w:t>Equity / Authority</w:t>
            </w:r>
          </w:p>
        </w:tc>
      </w:tr>
      <w:tr>
        <w:tc>
          <w:tcPr>
            <w:tcW w:type="dxa" w:w="3389"/>
            <w:vAlign w:val="center"/>
            <w:shd w:fill="F9FAFB"/>
          </w:tcPr>
          <w:p>
            <w:pPr>
              <w:spacing w:after="0"/>
            </w:pPr>
            <w:r/>
            <w:r>
              <w:rPr>
                <w:rFonts w:ascii="Aptos" w:hAnsi="Aptos"/>
                <w:b w:val="0"/>
                <w:color w:val="111827"/>
                <w:sz w:val="16"/>
              </w:rPr>
              <w:t>Authority Architecture</w:t>
            </w:r>
          </w:p>
        </w:tc>
        <w:tc>
          <w:tcPr>
            <w:tcW w:type="dxa" w:w="3389"/>
            <w:vAlign w:val="center"/>
            <w:shd w:fill="F9FAFB"/>
          </w:tcPr>
          <w:p>
            <w:pPr>
              <w:spacing w:after="0"/>
            </w:pPr>
            <w:r/>
            <w:r>
              <w:rPr>
                <w:rFonts w:ascii="Aptos" w:hAnsi="Aptos"/>
                <w:b w:val="0"/>
                <w:color w:val="111827"/>
                <w:sz w:val="16"/>
              </w:rPr>
              <w:t>Define category leadership, thought leadership, PR and ecosystem credibility.</w:t>
            </w:r>
          </w:p>
        </w:tc>
        <w:tc>
          <w:tcPr>
            <w:tcW w:type="dxa" w:w="3389"/>
            <w:vAlign w:val="center"/>
            <w:shd w:fill="F9FAFB"/>
          </w:tcPr>
          <w:p>
            <w:pPr>
              <w:spacing w:after="0"/>
            </w:pPr>
            <w:r/>
            <w:r>
              <w:rPr>
                <w:rFonts w:ascii="Aptos" w:hAnsi="Aptos"/>
                <w:b w:val="0"/>
                <w:color w:val="111827"/>
                <w:sz w:val="16"/>
              </w:rPr>
              <w:t>Authority</w:t>
            </w:r>
          </w:p>
        </w:tc>
      </w:tr>
      <w:tr>
        <w:tc>
          <w:tcPr>
            <w:tcW w:type="dxa" w:w="3389"/>
            <w:vAlign w:val="center"/>
          </w:tcPr>
          <w:p>
            <w:pPr>
              <w:spacing w:after="0"/>
            </w:pPr>
            <w:r/>
            <w:r>
              <w:rPr>
                <w:rFonts w:ascii="Aptos" w:hAnsi="Aptos"/>
                <w:b w:val="0"/>
                <w:color w:val="111827"/>
                <w:sz w:val="16"/>
              </w:rPr>
              <w:t>Demand &amp; Lead Architecture</w:t>
            </w:r>
          </w:p>
        </w:tc>
        <w:tc>
          <w:tcPr>
            <w:tcW w:type="dxa" w:w="3389"/>
            <w:vAlign w:val="center"/>
          </w:tcPr>
          <w:p>
            <w:pPr>
              <w:spacing w:after="0"/>
            </w:pPr>
            <w:r/>
            <w:r>
              <w:rPr>
                <w:rFonts w:ascii="Aptos" w:hAnsi="Aptos"/>
                <w:b w:val="0"/>
                <w:color w:val="111827"/>
                <w:sz w:val="16"/>
              </w:rPr>
              <w:t>Connect demand sources to qualification and pipeline.</w:t>
            </w:r>
          </w:p>
        </w:tc>
        <w:tc>
          <w:tcPr>
            <w:tcW w:type="dxa" w:w="3389"/>
            <w:vAlign w:val="center"/>
          </w:tcPr>
          <w:p>
            <w:pPr>
              <w:spacing w:after="0"/>
            </w:pPr>
            <w:r/>
            <w:r>
              <w:rPr>
                <w:rFonts w:ascii="Aptos" w:hAnsi="Aptos"/>
                <w:b w:val="0"/>
                <w:color w:val="111827"/>
                <w:sz w:val="16"/>
              </w:rPr>
              <w:t>Kinetic Growth</w:t>
            </w:r>
          </w:p>
        </w:tc>
      </w:tr>
      <w:tr>
        <w:tc>
          <w:tcPr>
            <w:tcW w:type="dxa" w:w="3389"/>
            <w:vAlign w:val="center"/>
            <w:shd w:fill="F9FAFB"/>
          </w:tcPr>
          <w:p>
            <w:pPr>
              <w:spacing w:after="0"/>
            </w:pPr>
            <w:r/>
            <w:r>
              <w:rPr>
                <w:rFonts w:ascii="Aptos" w:hAnsi="Aptos"/>
                <w:b w:val="0"/>
                <w:color w:val="111827"/>
                <w:sz w:val="16"/>
              </w:rPr>
              <w:t>Sales-Marketing Handoff Blueprint</w:t>
            </w:r>
          </w:p>
        </w:tc>
        <w:tc>
          <w:tcPr>
            <w:tcW w:type="dxa" w:w="3389"/>
            <w:vAlign w:val="center"/>
            <w:shd w:fill="F9FAFB"/>
          </w:tcPr>
          <w:p>
            <w:pPr>
              <w:spacing w:after="0"/>
            </w:pPr>
            <w:r/>
            <w:r>
              <w:rPr>
                <w:rFonts w:ascii="Aptos" w:hAnsi="Aptos"/>
                <w:b w:val="0"/>
                <w:color w:val="111827"/>
                <w:sz w:val="16"/>
              </w:rPr>
              <w:t>Define MQL/SQL or equivalent definitions, owners and feedback loops.</w:t>
            </w:r>
          </w:p>
        </w:tc>
        <w:tc>
          <w:tcPr>
            <w:tcW w:type="dxa" w:w="3389"/>
            <w:vAlign w:val="center"/>
            <w:shd w:fill="F9FAFB"/>
          </w:tcPr>
          <w:p>
            <w:pPr>
              <w:spacing w:after="0"/>
            </w:pPr>
            <w:r/>
            <w:r>
              <w:rPr>
                <w:rFonts w:ascii="Aptos" w:hAnsi="Aptos"/>
                <w:b w:val="0"/>
                <w:color w:val="111827"/>
                <w:sz w:val="16"/>
              </w:rPr>
              <w:t>Kinetic Growth</w:t>
            </w:r>
          </w:p>
        </w:tc>
      </w:tr>
      <w:tr>
        <w:tc>
          <w:tcPr>
            <w:tcW w:type="dxa" w:w="3389"/>
            <w:vAlign w:val="center"/>
          </w:tcPr>
          <w:p>
            <w:pPr>
              <w:spacing w:after="0"/>
            </w:pPr>
            <w:r/>
            <w:r>
              <w:rPr>
                <w:rFonts w:ascii="Aptos" w:hAnsi="Aptos"/>
                <w:b w:val="0"/>
                <w:color w:val="111827"/>
                <w:sz w:val="16"/>
              </w:rPr>
              <w:t>KPI &amp; Measurement Tree</w:t>
            </w:r>
          </w:p>
        </w:tc>
        <w:tc>
          <w:tcPr>
            <w:tcW w:type="dxa" w:w="3389"/>
            <w:vAlign w:val="center"/>
          </w:tcPr>
          <w:p>
            <w:pPr>
              <w:spacing w:after="0"/>
            </w:pPr>
            <w:r/>
            <w:r>
              <w:rPr>
                <w:rFonts w:ascii="Aptos" w:hAnsi="Aptos"/>
                <w:b w:val="0"/>
                <w:color w:val="111827"/>
                <w:sz w:val="16"/>
              </w:rPr>
              <w:t>Connect activities to leading indicators, pipeline and outcomes.</w:t>
            </w:r>
          </w:p>
        </w:tc>
        <w:tc>
          <w:tcPr>
            <w:tcW w:type="dxa" w:w="3389"/>
            <w:vAlign w:val="center"/>
          </w:tcPr>
          <w:p>
            <w:pPr>
              <w:spacing w:after="0"/>
            </w:pPr>
            <w:r/>
            <w:r>
              <w:rPr>
                <w:rFonts w:ascii="Aptos" w:hAnsi="Aptos"/>
                <w:b w:val="0"/>
                <w:color w:val="111827"/>
                <w:sz w:val="16"/>
              </w:rPr>
              <w:t>Kinetic Growth</w:t>
            </w:r>
          </w:p>
        </w:tc>
      </w:tr>
      <w:tr>
        <w:tc>
          <w:tcPr>
            <w:tcW w:type="dxa" w:w="3389"/>
            <w:vAlign w:val="center"/>
            <w:shd w:fill="F9FAFB"/>
          </w:tcPr>
          <w:p>
            <w:pPr>
              <w:spacing w:after="0"/>
            </w:pPr>
            <w:r/>
            <w:r>
              <w:rPr>
                <w:rFonts w:ascii="Aptos" w:hAnsi="Aptos"/>
                <w:b w:val="0"/>
                <w:color w:val="111827"/>
                <w:sz w:val="16"/>
              </w:rPr>
              <w:t>90-Day Activation Roadmap</w:t>
            </w:r>
          </w:p>
        </w:tc>
        <w:tc>
          <w:tcPr>
            <w:tcW w:type="dxa" w:w="3389"/>
            <w:vAlign w:val="center"/>
            <w:shd w:fill="F9FAFB"/>
          </w:tcPr>
          <w:p>
            <w:pPr>
              <w:spacing w:after="0"/>
            </w:pPr>
            <w:r/>
            <w:r>
              <w:rPr>
                <w:rFonts w:ascii="Aptos" w:hAnsi="Aptos"/>
                <w:b w:val="0"/>
                <w:color w:val="111827"/>
                <w:sz w:val="16"/>
              </w:rPr>
              <w:t>Sequence highest-priority interventions.</w:t>
            </w:r>
          </w:p>
        </w:tc>
        <w:tc>
          <w:tcPr>
            <w:tcW w:type="dxa" w:w="3389"/>
            <w:vAlign w:val="center"/>
            <w:shd w:fill="F9FAFB"/>
          </w:tcPr>
          <w:p>
            <w:pPr>
              <w:spacing w:after="0"/>
            </w:pPr>
            <w:r/>
            <w:r>
              <w:rPr>
                <w:rFonts w:ascii="Aptos" w:hAnsi="Aptos"/>
                <w:b w:val="0"/>
                <w:color w:val="111827"/>
                <w:sz w:val="16"/>
              </w:rPr>
              <w:t>All</w:t>
            </w:r>
          </w:p>
        </w:tc>
      </w:tr>
      <w:tr>
        <w:tc>
          <w:tcPr>
            <w:tcW w:type="dxa" w:w="3389"/>
            <w:vAlign w:val="center"/>
          </w:tcPr>
          <w:p>
            <w:pPr>
              <w:spacing w:after="0"/>
            </w:pPr>
            <w:r/>
            <w:r>
              <w:rPr>
                <w:rFonts w:ascii="Aptos" w:hAnsi="Aptos"/>
                <w:b w:val="0"/>
                <w:color w:val="111827"/>
                <w:sz w:val="16"/>
              </w:rPr>
              <w:t>12-Month Growth Roadmap</w:t>
            </w:r>
          </w:p>
        </w:tc>
        <w:tc>
          <w:tcPr>
            <w:tcW w:type="dxa" w:w="3389"/>
            <w:vAlign w:val="center"/>
          </w:tcPr>
          <w:p>
            <w:pPr>
              <w:spacing w:after="0"/>
            </w:pPr>
            <w:r/>
            <w:r>
              <w:rPr>
                <w:rFonts w:ascii="Aptos" w:hAnsi="Aptos"/>
                <w:b w:val="0"/>
                <w:color w:val="111827"/>
                <w:sz w:val="16"/>
              </w:rPr>
              <w:t>Phase architecture, capability and scale priorities.</w:t>
            </w:r>
          </w:p>
        </w:tc>
        <w:tc>
          <w:tcPr>
            <w:tcW w:type="dxa" w:w="3389"/>
            <w:vAlign w:val="center"/>
          </w:tcPr>
          <w:p>
            <w:pPr>
              <w:spacing w:after="0"/>
            </w:pPr>
            <w:r/>
            <w:r>
              <w:rPr>
                <w:rFonts w:ascii="Aptos" w:hAnsi="Aptos"/>
                <w:b w:val="0"/>
                <w:color w:val="111827"/>
                <w:sz w:val="16"/>
              </w:rPr>
              <w:t>All</w:t>
            </w:r>
          </w:p>
        </w:tc>
      </w:tr>
      <w:tr>
        <w:tc>
          <w:tcPr>
            <w:tcW w:type="dxa" w:w="3389"/>
            <w:vAlign w:val="center"/>
            <w:shd w:fill="F9FAFB"/>
          </w:tcPr>
          <w:p>
            <w:pPr>
              <w:spacing w:after="0"/>
            </w:pPr>
            <w:r/>
            <w:r>
              <w:rPr>
                <w:rFonts w:ascii="Aptos" w:hAnsi="Aptos"/>
                <w:b w:val="0"/>
                <w:color w:val="111827"/>
                <w:sz w:val="16"/>
              </w:rPr>
              <w:t>Governance Blueprint</w:t>
            </w:r>
          </w:p>
        </w:tc>
        <w:tc>
          <w:tcPr>
            <w:tcW w:type="dxa" w:w="3389"/>
            <w:vAlign w:val="center"/>
            <w:shd w:fill="F9FAFB"/>
          </w:tcPr>
          <w:p>
            <w:pPr>
              <w:spacing w:after="0"/>
            </w:pPr>
            <w:r/>
            <w:r>
              <w:rPr>
                <w:rFonts w:ascii="Aptos" w:hAnsi="Aptos"/>
                <w:b w:val="0"/>
                <w:color w:val="111827"/>
                <w:sz w:val="16"/>
              </w:rPr>
              <w:t>Define decision rights, reporting, partner management and reviews.</w:t>
            </w:r>
          </w:p>
        </w:tc>
        <w:tc>
          <w:tcPr>
            <w:tcW w:type="dxa" w:w="3389"/>
            <w:vAlign w:val="center"/>
            <w:shd w:fill="F9FAFB"/>
          </w:tcPr>
          <w:p>
            <w:pPr>
              <w:spacing w:after="0"/>
            </w:pPr>
            <w:r/>
            <w:r>
              <w:rPr>
                <w:rFonts w:ascii="Aptos" w:hAnsi="Aptos"/>
                <w:b w:val="0"/>
                <w:color w:val="111827"/>
                <w:sz w:val="16"/>
              </w:rPr>
              <w:t>All</w:t>
            </w:r>
          </w:p>
        </w:tc>
      </w:tr>
    </w:tbl>
    <w:p>
      <w:pPr>
        <w:spacing w:after="0"/>
      </w:pPr>
    </w:p>
    <w:p>
      <w:pPr>
        <w:pStyle w:val="Heading1"/>
      </w:pPr>
      <w:r>
        <w:t>13. Customer Journey &amp; Delivery Method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Pr>
          <w:p>
            <w:pPr>
              <w:spacing w:after="0"/>
            </w:pPr>
            <w:r/>
            <w:r>
              <w:rPr>
                <w:rFonts w:ascii="Aptos" w:hAnsi="Aptos"/>
                <w:b/>
                <w:color w:val="FFFFFF"/>
                <w:sz w:val="16"/>
              </w:rPr>
              <w:t>Phase</w:t>
            </w:r>
          </w:p>
        </w:tc>
        <w:tc>
          <w:tcPr>
            <w:tcW w:type="dxa" w:w="2541"/>
            <w:shd w:fill="111827"/>
            <w:vAlign w:val="center"/>
          </w:tcPr>
          <w:p>
            <w:pPr>
              <w:spacing w:after="0"/>
            </w:pPr>
            <w:r/>
            <w:r>
              <w:rPr>
                <w:rFonts w:ascii="Aptos" w:hAnsi="Aptos"/>
                <w:b/>
                <w:color w:val="FFFFFF"/>
                <w:sz w:val="16"/>
              </w:rPr>
              <w:t>Objective</w:t>
            </w:r>
          </w:p>
        </w:tc>
        <w:tc>
          <w:tcPr>
            <w:tcW w:type="dxa" w:w="2541"/>
            <w:shd w:fill="111827"/>
            <w:vAlign w:val="center"/>
          </w:tcPr>
          <w:p>
            <w:pPr>
              <w:spacing w:after="0"/>
            </w:pPr>
            <w:r/>
            <w:r>
              <w:rPr>
                <w:rFonts w:ascii="Aptos" w:hAnsi="Aptos"/>
                <w:b/>
                <w:color w:val="FFFFFF"/>
                <w:sz w:val="16"/>
              </w:rPr>
              <w:t>Key activities</w:t>
            </w:r>
          </w:p>
        </w:tc>
        <w:tc>
          <w:tcPr>
            <w:tcW w:type="dxa" w:w="2541"/>
            <w:shd w:fill="111827"/>
            <w:vAlign w:val="center"/>
          </w:tcPr>
          <w:p>
            <w:pPr>
              <w:spacing w:after="0"/>
            </w:pPr>
            <w:r/>
            <w:r>
              <w:rPr>
                <w:rFonts w:ascii="Aptos" w:hAnsi="Aptos"/>
                <w:b/>
                <w:color w:val="FFFFFF"/>
                <w:sz w:val="16"/>
              </w:rPr>
              <w:t>Gate</w:t>
            </w:r>
          </w:p>
        </w:tc>
      </w:tr>
      <w:tr>
        <w:tc>
          <w:tcPr>
            <w:tcW w:type="dxa" w:w="2541"/>
            <w:vAlign w:val="center"/>
          </w:tcPr>
          <w:p>
            <w:pPr>
              <w:spacing w:after="0"/>
            </w:pPr>
            <w:r/>
            <w:r>
              <w:rPr>
                <w:rFonts w:ascii="Aptos" w:hAnsi="Aptos"/>
                <w:b w:val="0"/>
                <w:color w:val="111827"/>
                <w:sz w:val="16"/>
              </w:rPr>
              <w:t>0. Qualify</w:t>
            </w:r>
          </w:p>
        </w:tc>
        <w:tc>
          <w:tcPr>
            <w:tcW w:type="dxa" w:w="2541"/>
            <w:vAlign w:val="center"/>
          </w:tcPr>
          <w:p>
            <w:pPr>
              <w:spacing w:after="0"/>
            </w:pPr>
            <w:r/>
            <w:r>
              <w:rPr>
                <w:rFonts w:ascii="Aptos" w:hAnsi="Aptos"/>
                <w:b w:val="0"/>
                <w:color w:val="111827"/>
                <w:sz w:val="16"/>
              </w:rPr>
              <w:t>Confirm fit, ambition, urgency and readiness.</w:t>
            </w:r>
          </w:p>
        </w:tc>
        <w:tc>
          <w:tcPr>
            <w:tcW w:type="dxa" w:w="2541"/>
            <w:vAlign w:val="center"/>
          </w:tcPr>
          <w:p>
            <w:pPr>
              <w:spacing w:after="0"/>
            </w:pPr>
            <w:r/>
            <w:r>
              <w:rPr>
                <w:rFonts w:ascii="Aptos" w:hAnsi="Aptos"/>
                <w:b w:val="0"/>
                <w:color w:val="111827"/>
                <w:sz w:val="16"/>
              </w:rPr>
              <w:t>Leadership discovery, business context, data readiness, resources and scope.</w:t>
            </w:r>
          </w:p>
        </w:tc>
        <w:tc>
          <w:tcPr>
            <w:tcW w:type="dxa" w:w="2541"/>
            <w:vAlign w:val="center"/>
          </w:tcPr>
          <w:p>
            <w:pPr>
              <w:spacing w:after="0"/>
            </w:pPr>
            <w:r/>
            <w:r>
              <w:rPr>
                <w:rFonts w:ascii="Aptos" w:hAnsi="Aptos"/>
                <w:b w:val="0"/>
                <w:color w:val="111827"/>
                <w:sz w:val="16"/>
              </w:rPr>
              <w:t>Engagement go/no-go.</w:t>
            </w:r>
          </w:p>
        </w:tc>
      </w:tr>
      <w:tr>
        <w:tc>
          <w:tcPr>
            <w:tcW w:type="dxa" w:w="2541"/>
            <w:vAlign w:val="center"/>
            <w:shd w:fill="F9FAFB"/>
          </w:tcPr>
          <w:p>
            <w:pPr>
              <w:spacing w:after="0"/>
            </w:pPr>
            <w:r/>
            <w:r>
              <w:rPr>
                <w:rFonts w:ascii="Aptos" w:hAnsi="Aptos"/>
                <w:b w:val="0"/>
                <w:color w:val="111827"/>
                <w:sz w:val="16"/>
              </w:rPr>
              <w:t>1. Diagnose</w:t>
            </w:r>
          </w:p>
        </w:tc>
        <w:tc>
          <w:tcPr>
            <w:tcW w:type="dxa" w:w="2541"/>
            <w:vAlign w:val="center"/>
            <w:shd w:fill="F9FAFB"/>
          </w:tcPr>
          <w:p>
            <w:pPr>
              <w:spacing w:after="0"/>
            </w:pPr>
            <w:r/>
            <w:r>
              <w:rPr>
                <w:rFonts w:ascii="Aptos" w:hAnsi="Aptos"/>
                <w:b w:val="0"/>
                <w:color w:val="111827"/>
                <w:sz w:val="16"/>
              </w:rPr>
              <w:t>Establish current level.</w:t>
            </w:r>
          </w:p>
        </w:tc>
        <w:tc>
          <w:tcPr>
            <w:tcW w:type="dxa" w:w="2541"/>
            <w:vAlign w:val="center"/>
            <w:shd w:fill="F9FAFB"/>
          </w:tcPr>
          <w:p>
            <w:pPr>
              <w:spacing w:after="0"/>
            </w:pPr>
            <w:r/>
            <w:r>
              <w:rPr>
                <w:rFonts w:ascii="Aptos" w:hAnsi="Aptos"/>
                <w:b w:val="0"/>
                <w:color w:val="111827"/>
                <w:sz w:val="16"/>
              </w:rPr>
              <w:t>LQ™ audit, interviews, data review, customer/market analysis, funnel and touchpoint review.</w:t>
            </w:r>
          </w:p>
        </w:tc>
        <w:tc>
          <w:tcPr>
            <w:tcW w:type="dxa" w:w="2541"/>
            <w:vAlign w:val="center"/>
            <w:shd w:fill="F9FAFB"/>
          </w:tcPr>
          <w:p>
            <w:pPr>
              <w:spacing w:after="0"/>
            </w:pPr>
            <w:r/>
            <w:r>
              <w:rPr>
                <w:rFonts w:ascii="Aptos" w:hAnsi="Aptos"/>
                <w:b w:val="0"/>
                <w:color w:val="111827"/>
                <w:sz w:val="16"/>
              </w:rPr>
              <w:t>Current-state diagnosis agreed.</w:t>
            </w:r>
          </w:p>
        </w:tc>
      </w:tr>
      <w:tr>
        <w:tc>
          <w:tcPr>
            <w:tcW w:type="dxa" w:w="2541"/>
            <w:vAlign w:val="center"/>
          </w:tcPr>
          <w:p>
            <w:pPr>
              <w:spacing w:after="0"/>
            </w:pPr>
            <w:r/>
            <w:r>
              <w:rPr>
                <w:rFonts w:ascii="Aptos" w:hAnsi="Aptos"/>
                <w:b w:val="0"/>
                <w:color w:val="111827"/>
                <w:sz w:val="16"/>
              </w:rPr>
              <w:t>2. Define</w:t>
            </w:r>
          </w:p>
        </w:tc>
        <w:tc>
          <w:tcPr>
            <w:tcW w:type="dxa" w:w="2541"/>
            <w:vAlign w:val="center"/>
          </w:tcPr>
          <w:p>
            <w:pPr>
              <w:spacing w:after="0"/>
            </w:pPr>
            <w:r/>
            <w:r>
              <w:rPr>
                <w:rFonts w:ascii="Aptos" w:hAnsi="Aptos"/>
                <w:b w:val="0"/>
                <w:color w:val="111827"/>
                <w:sz w:val="16"/>
              </w:rPr>
              <w:t>Agree the next level.</w:t>
            </w:r>
          </w:p>
        </w:tc>
        <w:tc>
          <w:tcPr>
            <w:tcW w:type="dxa" w:w="2541"/>
            <w:vAlign w:val="center"/>
          </w:tcPr>
          <w:p>
            <w:pPr>
              <w:spacing w:after="0"/>
            </w:pPr>
            <w:r/>
            <w:r>
              <w:rPr>
                <w:rFonts w:ascii="Aptos" w:hAnsi="Aptos"/>
                <w:b w:val="0"/>
                <w:color w:val="111827"/>
                <w:sz w:val="16"/>
              </w:rPr>
              <w:t>Business targets, strategic priorities, ICP and success definition.</w:t>
            </w:r>
          </w:p>
        </w:tc>
        <w:tc>
          <w:tcPr>
            <w:tcW w:type="dxa" w:w="2541"/>
            <w:vAlign w:val="center"/>
          </w:tcPr>
          <w:p>
            <w:pPr>
              <w:spacing w:after="0"/>
            </w:pPr>
            <w:r/>
            <w:r>
              <w:rPr>
                <w:rFonts w:ascii="Aptos" w:hAnsi="Aptos"/>
                <w:b w:val="0"/>
                <w:color w:val="111827"/>
                <w:sz w:val="16"/>
              </w:rPr>
              <w:t>Next-level state approved.</w:t>
            </w:r>
          </w:p>
        </w:tc>
      </w:tr>
      <w:tr>
        <w:tc>
          <w:tcPr>
            <w:tcW w:type="dxa" w:w="2541"/>
            <w:vAlign w:val="center"/>
            <w:shd w:fill="F9FAFB"/>
          </w:tcPr>
          <w:p>
            <w:pPr>
              <w:spacing w:after="0"/>
            </w:pPr>
            <w:r/>
            <w:r>
              <w:rPr>
                <w:rFonts w:ascii="Aptos" w:hAnsi="Aptos"/>
                <w:b w:val="0"/>
                <w:color w:val="111827"/>
                <w:sz w:val="16"/>
              </w:rPr>
              <w:t>3. Architect</w:t>
            </w:r>
          </w:p>
        </w:tc>
        <w:tc>
          <w:tcPr>
            <w:tcW w:type="dxa" w:w="2541"/>
            <w:vAlign w:val="center"/>
            <w:shd w:fill="F9FAFB"/>
          </w:tcPr>
          <w:p>
            <w:pPr>
              <w:spacing w:after="0"/>
            </w:pPr>
            <w:r/>
            <w:r>
              <w:rPr>
                <w:rFonts w:ascii="Aptos" w:hAnsi="Aptos"/>
                <w:b w:val="0"/>
                <w:color w:val="111827"/>
                <w:sz w:val="16"/>
              </w:rPr>
              <w:t>Build the integrated growth system.</w:t>
            </w:r>
          </w:p>
        </w:tc>
        <w:tc>
          <w:tcPr>
            <w:tcW w:type="dxa" w:w="2541"/>
            <w:vAlign w:val="center"/>
            <w:shd w:fill="F9FAFB"/>
          </w:tcPr>
          <w:p>
            <w:pPr>
              <w:spacing w:after="0"/>
            </w:pPr>
            <w:r/>
            <w:r>
              <w:rPr>
                <w:rFonts w:ascii="Aptos" w:hAnsi="Aptos"/>
                <w:b w:val="0"/>
                <w:color w:val="111827"/>
                <w:sz w:val="16"/>
              </w:rPr>
              <w:t>PEAK™, B.R.A.N.D.S., journeys, demand, conversion, trust, measurement and governance.</w:t>
            </w:r>
          </w:p>
        </w:tc>
        <w:tc>
          <w:tcPr>
            <w:tcW w:type="dxa" w:w="2541"/>
            <w:vAlign w:val="center"/>
            <w:shd w:fill="F9FAFB"/>
          </w:tcPr>
          <w:p>
            <w:pPr>
              <w:spacing w:after="0"/>
            </w:pPr>
            <w:r/>
            <w:r>
              <w:rPr>
                <w:rFonts w:ascii="Aptos" w:hAnsi="Aptos"/>
                <w:b w:val="0"/>
                <w:color w:val="111827"/>
                <w:sz w:val="16"/>
              </w:rPr>
              <w:t>Master architecture approved.</w:t>
            </w:r>
          </w:p>
        </w:tc>
      </w:tr>
      <w:tr>
        <w:tc>
          <w:tcPr>
            <w:tcW w:type="dxa" w:w="2541"/>
            <w:vAlign w:val="center"/>
          </w:tcPr>
          <w:p>
            <w:pPr>
              <w:spacing w:after="0"/>
            </w:pPr>
            <w:r/>
            <w:r>
              <w:rPr>
                <w:rFonts w:ascii="Aptos" w:hAnsi="Aptos"/>
                <w:b w:val="0"/>
                <w:color w:val="111827"/>
                <w:sz w:val="16"/>
              </w:rPr>
              <w:t>4. Activate</w:t>
            </w:r>
          </w:p>
        </w:tc>
        <w:tc>
          <w:tcPr>
            <w:tcW w:type="dxa" w:w="2541"/>
            <w:vAlign w:val="center"/>
          </w:tcPr>
          <w:p>
            <w:pPr>
              <w:spacing w:after="0"/>
            </w:pPr>
            <w:r/>
            <w:r>
              <w:rPr>
                <w:rFonts w:ascii="Aptos" w:hAnsi="Aptos"/>
                <w:b w:val="0"/>
                <w:color w:val="111827"/>
                <w:sz w:val="16"/>
              </w:rPr>
              <w:t>Translate architecture into execution-ready priorities.</w:t>
            </w:r>
          </w:p>
        </w:tc>
        <w:tc>
          <w:tcPr>
            <w:tcW w:type="dxa" w:w="2541"/>
            <w:vAlign w:val="center"/>
          </w:tcPr>
          <w:p>
            <w:pPr>
              <w:spacing w:after="0"/>
            </w:pPr>
            <w:r/>
            <w:r>
              <w:rPr>
                <w:rFonts w:ascii="Aptos" w:hAnsi="Aptos"/>
                <w:b w:val="0"/>
                <w:color w:val="111827"/>
                <w:sz w:val="16"/>
              </w:rPr>
              <w:t>90-day roadmap, briefs, owners, dependencies, team/vendor alignment.</w:t>
            </w:r>
          </w:p>
        </w:tc>
        <w:tc>
          <w:tcPr>
            <w:tcW w:type="dxa" w:w="2541"/>
            <w:vAlign w:val="center"/>
          </w:tcPr>
          <w:p>
            <w:pPr>
              <w:spacing w:after="0"/>
            </w:pPr>
            <w:r/>
            <w:r>
              <w:rPr>
                <w:rFonts w:ascii="Aptos" w:hAnsi="Aptos"/>
                <w:b w:val="0"/>
                <w:color w:val="111827"/>
                <w:sz w:val="16"/>
              </w:rPr>
              <w:t>Activation plan agreed.</w:t>
            </w:r>
          </w:p>
        </w:tc>
      </w:tr>
      <w:tr>
        <w:tc>
          <w:tcPr>
            <w:tcW w:type="dxa" w:w="2541"/>
            <w:vAlign w:val="center"/>
            <w:shd w:fill="F9FAFB"/>
          </w:tcPr>
          <w:p>
            <w:pPr>
              <w:spacing w:after="0"/>
            </w:pPr>
            <w:r/>
            <w:r>
              <w:rPr>
                <w:rFonts w:ascii="Aptos" w:hAnsi="Aptos"/>
                <w:b w:val="0"/>
                <w:color w:val="111827"/>
                <w:sz w:val="16"/>
              </w:rPr>
              <w:t>5. Govern</w:t>
            </w:r>
          </w:p>
        </w:tc>
        <w:tc>
          <w:tcPr>
            <w:tcW w:type="dxa" w:w="2541"/>
            <w:vAlign w:val="center"/>
            <w:shd w:fill="F9FAFB"/>
          </w:tcPr>
          <w:p>
            <w:pPr>
              <w:spacing w:after="0"/>
            </w:pPr>
            <w:r/>
            <w:r>
              <w:rPr>
                <w:rFonts w:ascii="Aptos" w:hAnsi="Aptos"/>
                <w:b w:val="0"/>
                <w:color w:val="111827"/>
                <w:sz w:val="16"/>
              </w:rPr>
              <w:t>Manage execution against architecture.</w:t>
            </w:r>
          </w:p>
        </w:tc>
        <w:tc>
          <w:tcPr>
            <w:tcW w:type="dxa" w:w="2541"/>
            <w:vAlign w:val="center"/>
            <w:shd w:fill="F9FAFB"/>
          </w:tcPr>
          <w:p>
            <w:pPr>
              <w:spacing w:after="0"/>
            </w:pPr>
            <w:r/>
            <w:r>
              <w:rPr>
                <w:rFonts w:ascii="Aptos" w:hAnsi="Aptos"/>
                <w:b w:val="0"/>
                <w:color w:val="111827"/>
                <w:sz w:val="16"/>
              </w:rPr>
              <w:t>Reviews, KPI tracking, partner governance, issue escalation and corrective actions.</w:t>
            </w:r>
          </w:p>
        </w:tc>
        <w:tc>
          <w:tcPr>
            <w:tcW w:type="dxa" w:w="2541"/>
            <w:vAlign w:val="center"/>
            <w:shd w:fill="F9FAFB"/>
          </w:tcPr>
          <w:p>
            <w:pPr>
              <w:spacing w:after="0"/>
            </w:pPr>
            <w:r/>
            <w:r>
              <w:rPr>
                <w:rFonts w:ascii="Aptos" w:hAnsi="Aptos"/>
                <w:b w:val="0"/>
                <w:color w:val="111827"/>
                <w:sz w:val="16"/>
              </w:rPr>
              <w:t>Monthly/quarterly decisions.</w:t>
            </w:r>
          </w:p>
        </w:tc>
      </w:tr>
      <w:tr>
        <w:tc>
          <w:tcPr>
            <w:tcW w:type="dxa" w:w="2541"/>
            <w:vAlign w:val="center"/>
          </w:tcPr>
          <w:p>
            <w:pPr>
              <w:spacing w:after="0"/>
            </w:pPr>
            <w:r/>
            <w:r>
              <w:rPr>
                <w:rFonts w:ascii="Aptos" w:hAnsi="Aptos"/>
                <w:b w:val="0"/>
                <w:color w:val="111827"/>
                <w:sz w:val="16"/>
              </w:rPr>
              <w:t>6. Scale</w:t>
            </w:r>
          </w:p>
        </w:tc>
        <w:tc>
          <w:tcPr>
            <w:tcW w:type="dxa" w:w="2541"/>
            <w:vAlign w:val="center"/>
          </w:tcPr>
          <w:p>
            <w:pPr>
              <w:spacing w:after="0"/>
            </w:pPr>
            <w:r/>
            <w:r>
              <w:rPr>
                <w:rFonts w:ascii="Aptos" w:hAnsi="Aptos"/>
                <w:b w:val="0"/>
                <w:color w:val="111827"/>
                <w:sz w:val="16"/>
              </w:rPr>
              <w:t>Increase investment only where the system proves readiness.</w:t>
            </w:r>
          </w:p>
        </w:tc>
        <w:tc>
          <w:tcPr>
            <w:tcW w:type="dxa" w:w="2541"/>
            <w:vAlign w:val="center"/>
          </w:tcPr>
          <w:p>
            <w:pPr>
              <w:spacing w:after="0"/>
            </w:pPr>
            <w:r/>
            <w:r>
              <w:rPr>
                <w:rFonts w:ascii="Aptos" w:hAnsi="Aptos"/>
                <w:b w:val="0"/>
                <w:color w:val="111827"/>
                <w:sz w:val="16"/>
              </w:rPr>
              <w:t>Optimisation, experiments, expansion, budget shifts and capability building.</w:t>
            </w:r>
          </w:p>
        </w:tc>
        <w:tc>
          <w:tcPr>
            <w:tcW w:type="dxa" w:w="2541"/>
            <w:vAlign w:val="center"/>
          </w:tcPr>
          <w:p>
            <w:pPr>
              <w:spacing w:after="0"/>
            </w:pPr>
            <w:r/>
            <w:r>
              <w:rPr>
                <w:rFonts w:ascii="Aptos" w:hAnsi="Aptos"/>
                <w:b w:val="0"/>
                <w:color w:val="111827"/>
                <w:sz w:val="16"/>
              </w:rPr>
              <w:t>Next-level review and reset.</w:t>
            </w:r>
          </w:p>
        </w:tc>
      </w:tr>
    </w:tbl>
    <w:p>
      <w:pPr>
        <w:spacing w:after="0"/>
      </w:pPr>
    </w:p>
    <w:p>
      <w:pPr>
        <w:pStyle w:val="Heading1"/>
      </w:pPr>
      <w:r>
        <w:t>14. Pain → Solution → Impact Map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11827"/>
            <w:vAlign w:val="center"/>
          </w:tcPr>
          <w:p>
            <w:pPr>
              <w:spacing w:after="0"/>
            </w:pPr>
            <w:r/>
            <w:r>
              <w:rPr>
                <w:rFonts w:ascii="Aptos" w:hAnsi="Aptos"/>
                <w:b/>
                <w:color w:val="FFFFFF"/>
                <w:sz w:val="16"/>
              </w:rPr>
              <w:t>Pain</w:t>
            </w:r>
          </w:p>
        </w:tc>
        <w:tc>
          <w:tcPr>
            <w:tcW w:type="dxa" w:w="2541"/>
            <w:shd w:fill="111827"/>
            <w:vAlign w:val="center"/>
          </w:tcPr>
          <w:p>
            <w:pPr>
              <w:spacing w:after="0"/>
            </w:pPr>
            <w:r/>
            <w:r>
              <w:rPr>
                <w:rFonts w:ascii="Aptos" w:hAnsi="Aptos"/>
                <w:b/>
                <w:color w:val="FFFFFF"/>
                <w:sz w:val="16"/>
              </w:rPr>
              <w:t>Architecture intervention</w:t>
            </w:r>
          </w:p>
        </w:tc>
        <w:tc>
          <w:tcPr>
            <w:tcW w:type="dxa" w:w="2541"/>
            <w:shd w:fill="111827"/>
            <w:vAlign w:val="center"/>
          </w:tcPr>
          <w:p>
            <w:pPr>
              <w:spacing w:after="0"/>
            </w:pPr>
            <w:r/>
            <w:r>
              <w:rPr>
                <w:rFonts w:ascii="Aptos" w:hAnsi="Aptos"/>
                <w:b/>
                <w:color w:val="FFFFFF"/>
                <w:sz w:val="16"/>
              </w:rPr>
              <w:t>Immediate impact</w:t>
            </w:r>
          </w:p>
        </w:tc>
        <w:tc>
          <w:tcPr>
            <w:tcW w:type="dxa" w:w="2541"/>
            <w:shd w:fill="111827"/>
            <w:vAlign w:val="center"/>
          </w:tcPr>
          <w:p>
            <w:pPr>
              <w:spacing w:after="0"/>
            </w:pPr>
            <w:r/>
            <w:r>
              <w:rPr>
                <w:rFonts w:ascii="Aptos" w:hAnsi="Aptos"/>
                <w:b/>
                <w:color w:val="FFFFFF"/>
                <w:sz w:val="16"/>
              </w:rPr>
              <w:t>Business impact</w:t>
            </w:r>
          </w:p>
        </w:tc>
      </w:tr>
      <w:tr>
        <w:tc>
          <w:tcPr>
            <w:tcW w:type="dxa" w:w="2541"/>
            <w:vAlign w:val="center"/>
          </w:tcPr>
          <w:p>
            <w:pPr>
              <w:spacing w:after="0"/>
            </w:pPr>
            <w:r/>
            <w:r>
              <w:rPr>
                <w:rFonts w:ascii="Aptos" w:hAnsi="Aptos"/>
                <w:b w:val="0"/>
                <w:color w:val="111827"/>
                <w:sz w:val="16"/>
              </w:rPr>
              <w:t>Low differentiation</w:t>
            </w:r>
          </w:p>
        </w:tc>
        <w:tc>
          <w:tcPr>
            <w:tcW w:type="dxa" w:w="2541"/>
            <w:vAlign w:val="center"/>
          </w:tcPr>
          <w:p>
            <w:pPr>
              <w:spacing w:after="0"/>
            </w:pPr>
            <w:r/>
            <w:r>
              <w:rPr>
                <w:rFonts w:ascii="Aptos" w:hAnsi="Aptos"/>
                <w:b w:val="0"/>
                <w:color w:val="111827"/>
                <w:sz w:val="16"/>
              </w:rPr>
              <w:t>Market + positioning architecture.</w:t>
            </w:r>
          </w:p>
        </w:tc>
        <w:tc>
          <w:tcPr>
            <w:tcW w:type="dxa" w:w="2541"/>
            <w:vAlign w:val="center"/>
          </w:tcPr>
          <w:p>
            <w:pPr>
              <w:spacing w:after="0"/>
            </w:pPr>
            <w:r/>
            <w:r>
              <w:rPr>
                <w:rFonts w:ascii="Aptos" w:hAnsi="Aptos"/>
                <w:b w:val="0"/>
                <w:color w:val="111827"/>
                <w:sz w:val="16"/>
              </w:rPr>
              <w:t>Sharper proposition and message consistency.</w:t>
            </w:r>
          </w:p>
        </w:tc>
        <w:tc>
          <w:tcPr>
            <w:tcW w:type="dxa" w:w="2541"/>
            <w:vAlign w:val="center"/>
          </w:tcPr>
          <w:p>
            <w:pPr>
              <w:spacing w:after="0"/>
            </w:pPr>
            <w:r/>
            <w:r>
              <w:rPr>
                <w:rFonts w:ascii="Aptos" w:hAnsi="Aptos"/>
                <w:b w:val="0"/>
                <w:color w:val="111827"/>
                <w:sz w:val="16"/>
              </w:rPr>
              <w:t>Higher preference and reduced price pressure.</w:t>
            </w:r>
          </w:p>
        </w:tc>
      </w:tr>
      <w:tr>
        <w:tc>
          <w:tcPr>
            <w:tcW w:type="dxa" w:w="2541"/>
            <w:vAlign w:val="center"/>
            <w:shd w:fill="F9FAFB"/>
          </w:tcPr>
          <w:p>
            <w:pPr>
              <w:spacing w:after="0"/>
            </w:pPr>
            <w:r/>
            <w:r>
              <w:rPr>
                <w:rFonts w:ascii="Aptos" w:hAnsi="Aptos"/>
                <w:b w:val="0"/>
                <w:color w:val="111827"/>
                <w:sz w:val="16"/>
              </w:rPr>
              <w:t>Poor-quality leads</w:t>
            </w:r>
          </w:p>
        </w:tc>
        <w:tc>
          <w:tcPr>
            <w:tcW w:type="dxa" w:w="2541"/>
            <w:vAlign w:val="center"/>
            <w:shd w:fill="F9FAFB"/>
          </w:tcPr>
          <w:p>
            <w:pPr>
              <w:spacing w:after="0"/>
            </w:pPr>
            <w:r/>
            <w:r>
              <w:rPr>
                <w:rFonts w:ascii="Aptos" w:hAnsi="Aptos"/>
                <w:b w:val="0"/>
                <w:color w:val="111827"/>
                <w:sz w:val="16"/>
              </w:rPr>
              <w:t>ICP + demand + qualification architecture.</w:t>
            </w:r>
          </w:p>
        </w:tc>
        <w:tc>
          <w:tcPr>
            <w:tcW w:type="dxa" w:w="2541"/>
            <w:vAlign w:val="center"/>
            <w:shd w:fill="F9FAFB"/>
          </w:tcPr>
          <w:p>
            <w:pPr>
              <w:spacing w:after="0"/>
            </w:pPr>
            <w:r/>
            <w:r>
              <w:rPr>
                <w:rFonts w:ascii="Aptos" w:hAnsi="Aptos"/>
                <w:b w:val="0"/>
                <w:color w:val="111827"/>
                <w:sz w:val="16"/>
              </w:rPr>
              <w:t>Better targeting and lead definition.</w:t>
            </w:r>
          </w:p>
        </w:tc>
        <w:tc>
          <w:tcPr>
            <w:tcW w:type="dxa" w:w="2541"/>
            <w:vAlign w:val="center"/>
            <w:shd w:fill="F9FAFB"/>
          </w:tcPr>
          <w:p>
            <w:pPr>
              <w:spacing w:after="0"/>
            </w:pPr>
            <w:r/>
            <w:r>
              <w:rPr>
                <w:rFonts w:ascii="Aptos" w:hAnsi="Aptos"/>
                <w:b w:val="0"/>
                <w:color w:val="111827"/>
                <w:sz w:val="16"/>
              </w:rPr>
              <w:t>Higher sales efficiency and conversion.</w:t>
            </w:r>
          </w:p>
        </w:tc>
      </w:tr>
      <w:tr>
        <w:tc>
          <w:tcPr>
            <w:tcW w:type="dxa" w:w="2541"/>
            <w:vAlign w:val="center"/>
          </w:tcPr>
          <w:p>
            <w:pPr>
              <w:spacing w:after="0"/>
            </w:pPr>
            <w:r/>
            <w:r>
              <w:rPr>
                <w:rFonts w:ascii="Aptos" w:hAnsi="Aptos"/>
                <w:b w:val="0"/>
                <w:color w:val="111827"/>
                <w:sz w:val="16"/>
              </w:rPr>
              <w:t>Traffic but low enquiries</w:t>
            </w:r>
          </w:p>
        </w:tc>
        <w:tc>
          <w:tcPr>
            <w:tcW w:type="dxa" w:w="2541"/>
            <w:vAlign w:val="center"/>
          </w:tcPr>
          <w:p>
            <w:pPr>
              <w:spacing w:after="0"/>
            </w:pPr>
            <w:r/>
            <w:r>
              <w:rPr>
                <w:rFonts w:ascii="Aptos" w:hAnsi="Aptos"/>
                <w:b w:val="0"/>
                <w:color w:val="111827"/>
                <w:sz w:val="16"/>
              </w:rPr>
              <w:t>Conversion readiness architecture.</w:t>
            </w:r>
          </w:p>
        </w:tc>
        <w:tc>
          <w:tcPr>
            <w:tcW w:type="dxa" w:w="2541"/>
            <w:vAlign w:val="center"/>
          </w:tcPr>
          <w:p>
            <w:pPr>
              <w:spacing w:after="0"/>
            </w:pPr>
            <w:r/>
            <w:r>
              <w:rPr>
                <w:rFonts w:ascii="Aptos" w:hAnsi="Aptos"/>
                <w:b w:val="0"/>
                <w:color w:val="111827"/>
                <w:sz w:val="16"/>
              </w:rPr>
              <w:t>Reduced friction and stronger CTAs/proof.</w:t>
            </w:r>
          </w:p>
        </w:tc>
        <w:tc>
          <w:tcPr>
            <w:tcW w:type="dxa" w:w="2541"/>
            <w:vAlign w:val="center"/>
          </w:tcPr>
          <w:p>
            <w:pPr>
              <w:spacing w:after="0"/>
            </w:pPr>
            <w:r/>
            <w:r>
              <w:rPr>
                <w:rFonts w:ascii="Aptos" w:hAnsi="Aptos"/>
                <w:b w:val="0"/>
                <w:color w:val="111827"/>
                <w:sz w:val="16"/>
              </w:rPr>
              <w:t>More pipeline from existing attention.</w:t>
            </w:r>
          </w:p>
        </w:tc>
      </w:tr>
      <w:tr>
        <w:tc>
          <w:tcPr>
            <w:tcW w:type="dxa" w:w="2541"/>
            <w:vAlign w:val="center"/>
            <w:shd w:fill="F9FAFB"/>
          </w:tcPr>
          <w:p>
            <w:pPr>
              <w:spacing w:after="0"/>
            </w:pPr>
            <w:r/>
            <w:r>
              <w:rPr>
                <w:rFonts w:ascii="Aptos" w:hAnsi="Aptos"/>
                <w:b w:val="0"/>
                <w:color w:val="111827"/>
                <w:sz w:val="16"/>
              </w:rPr>
              <w:t>Long sales cycle</w:t>
            </w:r>
          </w:p>
        </w:tc>
        <w:tc>
          <w:tcPr>
            <w:tcW w:type="dxa" w:w="2541"/>
            <w:vAlign w:val="center"/>
            <w:shd w:fill="F9FAFB"/>
          </w:tcPr>
          <w:p>
            <w:pPr>
              <w:spacing w:after="0"/>
            </w:pPr>
            <w:r/>
            <w:r>
              <w:rPr>
                <w:rFonts w:ascii="Aptos" w:hAnsi="Aptos"/>
                <w:b w:val="0"/>
                <w:color w:val="111827"/>
                <w:sz w:val="16"/>
              </w:rPr>
              <w:t>Trust, proof and nurture architecture.</w:t>
            </w:r>
          </w:p>
        </w:tc>
        <w:tc>
          <w:tcPr>
            <w:tcW w:type="dxa" w:w="2541"/>
            <w:vAlign w:val="center"/>
            <w:shd w:fill="F9FAFB"/>
          </w:tcPr>
          <w:p>
            <w:pPr>
              <w:spacing w:after="0"/>
            </w:pPr>
            <w:r/>
            <w:r>
              <w:rPr>
                <w:rFonts w:ascii="Aptos" w:hAnsi="Aptos"/>
                <w:b w:val="0"/>
                <w:color w:val="111827"/>
                <w:sz w:val="16"/>
              </w:rPr>
              <w:t>Buyer uncertainty falls.</w:t>
            </w:r>
          </w:p>
        </w:tc>
        <w:tc>
          <w:tcPr>
            <w:tcW w:type="dxa" w:w="2541"/>
            <w:vAlign w:val="center"/>
            <w:shd w:fill="F9FAFB"/>
          </w:tcPr>
          <w:p>
            <w:pPr>
              <w:spacing w:after="0"/>
            </w:pPr>
            <w:r/>
            <w:r>
              <w:rPr>
                <w:rFonts w:ascii="Aptos" w:hAnsi="Aptos"/>
                <w:b w:val="0"/>
                <w:color w:val="111827"/>
                <w:sz w:val="16"/>
              </w:rPr>
              <w:t>Faster progression and improved win probability.</w:t>
            </w:r>
          </w:p>
        </w:tc>
      </w:tr>
      <w:tr>
        <w:tc>
          <w:tcPr>
            <w:tcW w:type="dxa" w:w="2541"/>
            <w:vAlign w:val="center"/>
          </w:tcPr>
          <w:p>
            <w:pPr>
              <w:spacing w:after="0"/>
            </w:pPr>
            <w:r/>
            <w:r>
              <w:rPr>
                <w:rFonts w:ascii="Aptos" w:hAnsi="Aptos"/>
                <w:b w:val="0"/>
                <w:color w:val="111827"/>
                <w:sz w:val="16"/>
              </w:rPr>
              <w:t>Agency fragmentation</w:t>
            </w:r>
          </w:p>
        </w:tc>
        <w:tc>
          <w:tcPr>
            <w:tcW w:type="dxa" w:w="2541"/>
            <w:vAlign w:val="center"/>
          </w:tcPr>
          <w:p>
            <w:pPr>
              <w:spacing w:after="0"/>
            </w:pPr>
            <w:r/>
            <w:r>
              <w:rPr>
                <w:rFonts w:ascii="Aptos" w:hAnsi="Aptos"/>
                <w:b w:val="0"/>
                <w:color w:val="111827"/>
                <w:sz w:val="16"/>
              </w:rPr>
              <w:t>Governance blueprint + common architecture.</w:t>
            </w:r>
          </w:p>
        </w:tc>
        <w:tc>
          <w:tcPr>
            <w:tcW w:type="dxa" w:w="2541"/>
            <w:vAlign w:val="center"/>
          </w:tcPr>
          <w:p>
            <w:pPr>
              <w:spacing w:after="0"/>
            </w:pPr>
            <w:r/>
            <w:r>
              <w:rPr>
                <w:rFonts w:ascii="Aptos" w:hAnsi="Aptos"/>
                <w:b w:val="0"/>
                <w:color w:val="111827"/>
                <w:sz w:val="16"/>
              </w:rPr>
              <w:t>Clear briefs, owners and priorities.</w:t>
            </w:r>
          </w:p>
        </w:tc>
        <w:tc>
          <w:tcPr>
            <w:tcW w:type="dxa" w:w="2541"/>
            <w:vAlign w:val="center"/>
          </w:tcPr>
          <w:p>
            <w:pPr>
              <w:spacing w:after="0"/>
            </w:pPr>
            <w:r/>
            <w:r>
              <w:rPr>
                <w:rFonts w:ascii="Aptos" w:hAnsi="Aptos"/>
                <w:b w:val="0"/>
                <w:color w:val="111827"/>
                <w:sz w:val="16"/>
              </w:rPr>
              <w:t>Less waste and greater execution accountability.</w:t>
            </w:r>
          </w:p>
        </w:tc>
      </w:tr>
      <w:tr>
        <w:tc>
          <w:tcPr>
            <w:tcW w:type="dxa" w:w="2541"/>
            <w:vAlign w:val="center"/>
            <w:shd w:fill="F9FAFB"/>
          </w:tcPr>
          <w:p>
            <w:pPr>
              <w:spacing w:after="0"/>
            </w:pPr>
            <w:r/>
            <w:r>
              <w:rPr>
                <w:rFonts w:ascii="Aptos" w:hAnsi="Aptos"/>
                <w:b w:val="0"/>
                <w:color w:val="111827"/>
                <w:sz w:val="16"/>
              </w:rPr>
              <w:t>Founder-dependent growth</w:t>
            </w:r>
          </w:p>
        </w:tc>
        <w:tc>
          <w:tcPr>
            <w:tcW w:type="dxa" w:w="2541"/>
            <w:vAlign w:val="center"/>
            <w:shd w:fill="F9FAFB"/>
          </w:tcPr>
          <w:p>
            <w:pPr>
              <w:spacing w:after="0"/>
            </w:pPr>
            <w:r/>
            <w:r>
              <w:rPr>
                <w:rFonts w:ascii="Aptos" w:hAnsi="Aptos"/>
                <w:b w:val="0"/>
                <w:color w:val="111827"/>
                <w:sz w:val="16"/>
              </w:rPr>
              <w:t>Authority, trust and institutional presence architecture.</w:t>
            </w:r>
          </w:p>
        </w:tc>
        <w:tc>
          <w:tcPr>
            <w:tcW w:type="dxa" w:w="2541"/>
            <w:vAlign w:val="center"/>
            <w:shd w:fill="F9FAFB"/>
          </w:tcPr>
          <w:p>
            <w:pPr>
              <w:spacing w:after="0"/>
            </w:pPr>
            <w:r/>
            <w:r>
              <w:rPr>
                <w:rFonts w:ascii="Aptos" w:hAnsi="Aptos"/>
                <w:b w:val="0"/>
                <w:color w:val="111827"/>
                <w:sz w:val="16"/>
              </w:rPr>
              <w:t>Company credibility becomes less person-dependent.</w:t>
            </w:r>
          </w:p>
        </w:tc>
        <w:tc>
          <w:tcPr>
            <w:tcW w:type="dxa" w:w="2541"/>
            <w:vAlign w:val="center"/>
            <w:shd w:fill="F9FAFB"/>
          </w:tcPr>
          <w:p>
            <w:pPr>
              <w:spacing w:after="0"/>
            </w:pPr>
            <w:r/>
            <w:r>
              <w:rPr>
                <w:rFonts w:ascii="Aptos" w:hAnsi="Aptos"/>
                <w:b w:val="0"/>
                <w:color w:val="111827"/>
                <w:sz w:val="16"/>
              </w:rPr>
              <w:t>More scalable acquisition and stakeholder confidence.</w:t>
            </w:r>
          </w:p>
        </w:tc>
      </w:tr>
      <w:tr>
        <w:tc>
          <w:tcPr>
            <w:tcW w:type="dxa" w:w="2541"/>
            <w:vAlign w:val="center"/>
          </w:tcPr>
          <w:p>
            <w:pPr>
              <w:spacing w:after="0"/>
            </w:pPr>
            <w:r/>
            <w:r>
              <w:rPr>
                <w:rFonts w:ascii="Aptos" w:hAnsi="Aptos"/>
                <w:b w:val="0"/>
                <w:color w:val="111827"/>
                <w:sz w:val="16"/>
              </w:rPr>
              <w:t>Weak organic demand</w:t>
            </w:r>
          </w:p>
        </w:tc>
        <w:tc>
          <w:tcPr>
            <w:tcW w:type="dxa" w:w="2541"/>
            <w:vAlign w:val="center"/>
          </w:tcPr>
          <w:p>
            <w:pPr>
              <w:spacing w:after="0"/>
            </w:pPr>
            <w:r/>
            <w:r>
              <w:rPr>
                <w:rFonts w:ascii="Aptos" w:hAnsi="Aptos"/>
                <w:b w:val="0"/>
                <w:color w:val="111827"/>
                <w:sz w:val="16"/>
              </w:rPr>
              <w:t>Discoverability + authority architecture.</w:t>
            </w:r>
          </w:p>
        </w:tc>
        <w:tc>
          <w:tcPr>
            <w:tcW w:type="dxa" w:w="2541"/>
            <w:vAlign w:val="center"/>
          </w:tcPr>
          <w:p>
            <w:pPr>
              <w:spacing w:after="0"/>
            </w:pPr>
            <w:r/>
            <w:r>
              <w:rPr>
                <w:rFonts w:ascii="Aptos" w:hAnsi="Aptos"/>
                <w:b w:val="0"/>
                <w:color w:val="111827"/>
                <w:sz w:val="16"/>
              </w:rPr>
              <w:t>Greater findability and validation.</w:t>
            </w:r>
          </w:p>
        </w:tc>
        <w:tc>
          <w:tcPr>
            <w:tcW w:type="dxa" w:w="2541"/>
            <w:vAlign w:val="center"/>
          </w:tcPr>
          <w:p>
            <w:pPr>
              <w:spacing w:after="0"/>
            </w:pPr>
            <w:r/>
            <w:r>
              <w:rPr>
                <w:rFonts w:ascii="Aptos" w:hAnsi="Aptos"/>
                <w:b w:val="0"/>
                <w:color w:val="111827"/>
                <w:sz w:val="16"/>
              </w:rPr>
              <w:t>Lower dependency on paid acquisition over time.</w:t>
            </w:r>
          </w:p>
        </w:tc>
      </w:tr>
      <w:tr>
        <w:tc>
          <w:tcPr>
            <w:tcW w:type="dxa" w:w="2541"/>
            <w:vAlign w:val="center"/>
            <w:shd w:fill="F9FAFB"/>
          </w:tcPr>
          <w:p>
            <w:pPr>
              <w:spacing w:after="0"/>
            </w:pPr>
            <w:r/>
            <w:r>
              <w:rPr>
                <w:rFonts w:ascii="Aptos" w:hAnsi="Aptos"/>
                <w:b w:val="0"/>
                <w:color w:val="111827"/>
                <w:sz w:val="16"/>
              </w:rPr>
              <w:t>Marketing-sales conflict</w:t>
            </w:r>
          </w:p>
        </w:tc>
        <w:tc>
          <w:tcPr>
            <w:tcW w:type="dxa" w:w="2541"/>
            <w:vAlign w:val="center"/>
            <w:shd w:fill="F9FAFB"/>
          </w:tcPr>
          <w:p>
            <w:pPr>
              <w:spacing w:after="0"/>
            </w:pPr>
            <w:r/>
            <w:r>
              <w:rPr>
                <w:rFonts w:ascii="Aptos" w:hAnsi="Aptos"/>
                <w:b w:val="0"/>
                <w:color w:val="111827"/>
                <w:sz w:val="16"/>
              </w:rPr>
              <w:t>Handoff, definitions and feedback-loop architecture.</w:t>
            </w:r>
          </w:p>
        </w:tc>
        <w:tc>
          <w:tcPr>
            <w:tcW w:type="dxa" w:w="2541"/>
            <w:vAlign w:val="center"/>
            <w:shd w:fill="F9FAFB"/>
          </w:tcPr>
          <w:p>
            <w:pPr>
              <w:spacing w:after="0"/>
            </w:pPr>
            <w:r/>
            <w:r>
              <w:rPr>
                <w:rFonts w:ascii="Aptos" w:hAnsi="Aptos"/>
                <w:b w:val="0"/>
                <w:color w:val="111827"/>
                <w:sz w:val="16"/>
              </w:rPr>
              <w:t>Shared pipeline language and ownership.</w:t>
            </w:r>
          </w:p>
        </w:tc>
        <w:tc>
          <w:tcPr>
            <w:tcW w:type="dxa" w:w="2541"/>
            <w:vAlign w:val="center"/>
            <w:shd w:fill="F9FAFB"/>
          </w:tcPr>
          <w:p>
            <w:pPr>
              <w:spacing w:after="0"/>
            </w:pPr>
            <w:r/>
            <w:r>
              <w:rPr>
                <w:rFonts w:ascii="Aptos" w:hAnsi="Aptos"/>
                <w:b w:val="0"/>
                <w:color w:val="111827"/>
                <w:sz w:val="16"/>
              </w:rPr>
              <w:t>Improved lead progression and forecast quality.</w:t>
            </w:r>
          </w:p>
        </w:tc>
      </w:tr>
      <w:tr>
        <w:tc>
          <w:tcPr>
            <w:tcW w:type="dxa" w:w="2541"/>
            <w:vAlign w:val="center"/>
          </w:tcPr>
          <w:p>
            <w:pPr>
              <w:spacing w:after="0"/>
            </w:pPr>
            <w:r/>
            <w:r>
              <w:rPr>
                <w:rFonts w:ascii="Aptos" w:hAnsi="Aptos"/>
                <w:b w:val="0"/>
                <w:color w:val="111827"/>
                <w:sz w:val="16"/>
              </w:rPr>
              <w:t>Scaling inefficiency</w:t>
            </w:r>
          </w:p>
        </w:tc>
        <w:tc>
          <w:tcPr>
            <w:tcW w:type="dxa" w:w="2541"/>
            <w:vAlign w:val="center"/>
          </w:tcPr>
          <w:p>
            <w:pPr>
              <w:spacing w:after="0"/>
            </w:pPr>
            <w:r/>
            <w:r>
              <w:rPr>
                <w:rFonts w:ascii="Aptos" w:hAnsi="Aptos"/>
                <w:b w:val="0"/>
                <w:color w:val="111827"/>
                <w:sz w:val="16"/>
              </w:rPr>
              <w:t>LQ™, readiness and KPI architecture.</w:t>
            </w:r>
          </w:p>
        </w:tc>
        <w:tc>
          <w:tcPr>
            <w:tcW w:type="dxa" w:w="2541"/>
            <w:vAlign w:val="center"/>
          </w:tcPr>
          <w:p>
            <w:pPr>
              <w:spacing w:after="0"/>
            </w:pPr>
            <w:r/>
            <w:r>
              <w:rPr>
                <w:rFonts w:ascii="Aptos" w:hAnsi="Aptos"/>
                <w:b w:val="0"/>
                <w:color w:val="111827"/>
                <w:sz w:val="16"/>
              </w:rPr>
              <w:t>Spend follows evidence and bottlenecks.</w:t>
            </w:r>
          </w:p>
        </w:tc>
        <w:tc>
          <w:tcPr>
            <w:tcW w:type="dxa" w:w="2541"/>
            <w:vAlign w:val="center"/>
          </w:tcPr>
          <w:p>
            <w:pPr>
              <w:spacing w:after="0"/>
            </w:pPr>
            <w:r/>
            <w:r>
              <w:rPr>
                <w:rFonts w:ascii="Aptos" w:hAnsi="Aptos"/>
                <w:b w:val="0"/>
                <w:color w:val="111827"/>
                <w:sz w:val="16"/>
              </w:rPr>
              <w:t>More sustainable growth economics.</w:t>
            </w:r>
          </w:p>
        </w:tc>
      </w:tr>
    </w:tbl>
    <w:p>
      <w:pPr>
        <w:spacing w:after="0"/>
      </w:pPr>
    </w:p>
    <w:p>
      <w:pPr>
        <w:pStyle w:val="Heading1"/>
      </w:pPr>
      <w:r>
        <w:t>15. Business Impact Model</w:t>
      </w:r>
    </w:p>
    <w:p>
      <w:r>
        <w:t>Level141 must connect architecture to business movement without claiming that marketing alone controls revenue. The product therefore measures a chain of contribution.</w:t>
      </w:r>
    </w:p>
    <w:tbl>
      <w:tblPr>
        <w:tblStyle w:val="TableGrid"/>
        <w:tblW w:type="auto" w:w="0"/>
        <w:tblLook w:firstColumn="1" w:firstRow="1" w:lastColumn="0" w:lastRow="0" w:noHBand="0" w:noVBand="1" w:val="04A0"/>
      </w:tblPr>
      <w:tblGrid>
        <w:gridCol w:w="10166"/>
      </w:tblGrid>
      <w:tr>
        <w:tc>
          <w:tcPr>
            <w:tcW w:type="dxa" w:w="10166"/>
            <w:shd w:fill="E6FFFB"/>
          </w:tcPr>
          <w:p>
            <w:r>
              <w:rPr>
                <w:b/>
                <w:color w:val="0F766E"/>
                <w:sz w:val="22"/>
              </w:rPr>
              <w:t>Impact chain</w:t>
              <w:br/>
            </w:r>
            <w:r>
              <w:rPr>
                <w:sz w:val="18"/>
              </w:rPr>
              <w:t>ARCHITECTURE QUALITY → MARKET CLARITY → RELEVANT ATTENTION → TRUST → ENGAGEMENT → QUALIFIED DEMAND → CONVERSION → CUSTOMER VALUE → REPEATABLE GROWTH</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Impact layer</w:t>
            </w:r>
          </w:p>
        </w:tc>
        <w:tc>
          <w:tcPr>
            <w:tcW w:type="dxa" w:w="5083"/>
            <w:shd w:fill="111827"/>
            <w:vAlign w:val="center"/>
          </w:tcPr>
          <w:p>
            <w:pPr>
              <w:spacing w:after="0"/>
            </w:pPr>
            <w:r/>
            <w:r>
              <w:rPr>
                <w:rFonts w:ascii="Aptos" w:hAnsi="Aptos"/>
                <w:b/>
                <w:color w:val="FFFFFF"/>
                <w:sz w:val="16"/>
              </w:rPr>
              <w:t>Examples</w:t>
            </w:r>
          </w:p>
        </w:tc>
      </w:tr>
      <w:tr>
        <w:tc>
          <w:tcPr>
            <w:tcW w:type="dxa" w:w="5083"/>
            <w:vAlign w:val="center"/>
          </w:tcPr>
          <w:p>
            <w:pPr>
              <w:spacing w:after="0"/>
            </w:pPr>
            <w:r/>
            <w:r>
              <w:rPr>
                <w:rFonts w:ascii="Aptos" w:hAnsi="Aptos"/>
                <w:b w:val="0"/>
                <w:color w:val="111827"/>
                <w:sz w:val="16"/>
              </w:rPr>
              <w:t>Strategic clarity</w:t>
            </w:r>
          </w:p>
        </w:tc>
        <w:tc>
          <w:tcPr>
            <w:tcW w:type="dxa" w:w="5083"/>
            <w:vAlign w:val="center"/>
          </w:tcPr>
          <w:p>
            <w:pPr>
              <w:spacing w:after="0"/>
            </w:pPr>
            <w:r/>
            <w:r>
              <w:rPr>
                <w:rFonts w:ascii="Aptos" w:hAnsi="Aptos"/>
                <w:b w:val="0"/>
                <w:color w:val="111827"/>
                <w:sz w:val="16"/>
              </w:rPr>
              <w:t>Clear ICP, positioning, priorities, roles and resource allocation.</w:t>
            </w:r>
          </w:p>
        </w:tc>
      </w:tr>
      <w:tr>
        <w:tc>
          <w:tcPr>
            <w:tcW w:type="dxa" w:w="5083"/>
            <w:vAlign w:val="center"/>
            <w:shd w:fill="F9FAFB"/>
          </w:tcPr>
          <w:p>
            <w:pPr>
              <w:spacing w:after="0"/>
            </w:pPr>
            <w:r/>
            <w:r>
              <w:rPr>
                <w:rFonts w:ascii="Aptos" w:hAnsi="Aptos"/>
                <w:b w:val="0"/>
                <w:color w:val="111827"/>
                <w:sz w:val="16"/>
              </w:rPr>
              <w:t>Market efficiency</w:t>
            </w:r>
          </w:p>
        </w:tc>
        <w:tc>
          <w:tcPr>
            <w:tcW w:type="dxa" w:w="5083"/>
            <w:vAlign w:val="center"/>
            <w:shd w:fill="F9FAFB"/>
          </w:tcPr>
          <w:p>
            <w:pPr>
              <w:spacing w:after="0"/>
            </w:pPr>
            <w:r/>
            <w:r>
              <w:rPr>
                <w:rFonts w:ascii="Aptos" w:hAnsi="Aptos"/>
                <w:b w:val="0"/>
                <w:color w:val="111827"/>
                <w:sz w:val="16"/>
              </w:rPr>
              <w:t>Higher relevance of reach, better engagement quality, stronger organic discovery.</w:t>
            </w:r>
          </w:p>
        </w:tc>
      </w:tr>
      <w:tr>
        <w:tc>
          <w:tcPr>
            <w:tcW w:type="dxa" w:w="5083"/>
            <w:vAlign w:val="center"/>
          </w:tcPr>
          <w:p>
            <w:pPr>
              <w:spacing w:after="0"/>
            </w:pPr>
            <w:r/>
            <w:r>
              <w:rPr>
                <w:rFonts w:ascii="Aptos" w:hAnsi="Aptos"/>
                <w:b w:val="0"/>
                <w:color w:val="111827"/>
                <w:sz w:val="16"/>
              </w:rPr>
              <w:t>Conversion efficiency</w:t>
            </w:r>
          </w:p>
        </w:tc>
        <w:tc>
          <w:tcPr>
            <w:tcW w:type="dxa" w:w="5083"/>
            <w:vAlign w:val="center"/>
          </w:tcPr>
          <w:p>
            <w:pPr>
              <w:spacing w:after="0"/>
            </w:pPr>
            <w:r/>
            <w:r>
              <w:rPr>
                <w:rFonts w:ascii="Aptos" w:hAnsi="Aptos"/>
                <w:b w:val="0"/>
                <w:color w:val="111827"/>
                <w:sz w:val="16"/>
              </w:rPr>
              <w:t>Improved enquiry rate, lead quality, journey progression and sales readiness.</w:t>
            </w:r>
          </w:p>
        </w:tc>
      </w:tr>
      <w:tr>
        <w:tc>
          <w:tcPr>
            <w:tcW w:type="dxa" w:w="5083"/>
            <w:vAlign w:val="center"/>
            <w:shd w:fill="F9FAFB"/>
          </w:tcPr>
          <w:p>
            <w:pPr>
              <w:spacing w:after="0"/>
            </w:pPr>
            <w:r/>
            <w:r>
              <w:rPr>
                <w:rFonts w:ascii="Aptos" w:hAnsi="Aptos"/>
                <w:b w:val="0"/>
                <w:color w:val="111827"/>
                <w:sz w:val="16"/>
              </w:rPr>
              <w:t>Trust &amp; authority</w:t>
            </w:r>
          </w:p>
        </w:tc>
        <w:tc>
          <w:tcPr>
            <w:tcW w:type="dxa" w:w="5083"/>
            <w:vAlign w:val="center"/>
            <w:shd w:fill="F9FAFB"/>
          </w:tcPr>
          <w:p>
            <w:pPr>
              <w:spacing w:after="0"/>
            </w:pPr>
            <w:r/>
            <w:r>
              <w:rPr>
                <w:rFonts w:ascii="Aptos" w:hAnsi="Aptos"/>
                <w:b w:val="0"/>
                <w:color w:val="111827"/>
                <w:sz w:val="16"/>
              </w:rPr>
              <w:t>More proof, stronger reputation signals, expert/media recognition and reduced buyer uncertainty.</w:t>
            </w:r>
          </w:p>
        </w:tc>
      </w:tr>
      <w:tr>
        <w:tc>
          <w:tcPr>
            <w:tcW w:type="dxa" w:w="5083"/>
            <w:vAlign w:val="center"/>
          </w:tcPr>
          <w:p>
            <w:pPr>
              <w:spacing w:after="0"/>
            </w:pPr>
            <w:r/>
            <w:r>
              <w:rPr>
                <w:rFonts w:ascii="Aptos" w:hAnsi="Aptos"/>
                <w:b w:val="0"/>
                <w:color w:val="111827"/>
                <w:sz w:val="16"/>
              </w:rPr>
              <w:t>Pipeline impact</w:t>
            </w:r>
          </w:p>
        </w:tc>
        <w:tc>
          <w:tcPr>
            <w:tcW w:type="dxa" w:w="5083"/>
            <w:vAlign w:val="center"/>
          </w:tcPr>
          <w:p>
            <w:pPr>
              <w:spacing w:after="0"/>
            </w:pPr>
            <w:r/>
            <w:r>
              <w:rPr>
                <w:rFonts w:ascii="Aptos" w:hAnsi="Aptos"/>
                <w:b w:val="0"/>
                <w:color w:val="111827"/>
                <w:sz w:val="16"/>
              </w:rPr>
              <w:t>More qualified opportunities, better nurture, improved handoff and shorter leakage points.</w:t>
            </w:r>
          </w:p>
        </w:tc>
      </w:tr>
      <w:tr>
        <w:tc>
          <w:tcPr>
            <w:tcW w:type="dxa" w:w="5083"/>
            <w:vAlign w:val="center"/>
            <w:shd w:fill="F9FAFB"/>
          </w:tcPr>
          <w:p>
            <w:pPr>
              <w:spacing w:after="0"/>
            </w:pPr>
            <w:r/>
            <w:r>
              <w:rPr>
                <w:rFonts w:ascii="Aptos" w:hAnsi="Aptos"/>
                <w:b w:val="0"/>
                <w:color w:val="111827"/>
                <w:sz w:val="16"/>
              </w:rPr>
              <w:t>Commercial impact</w:t>
            </w:r>
          </w:p>
        </w:tc>
        <w:tc>
          <w:tcPr>
            <w:tcW w:type="dxa" w:w="5083"/>
            <w:vAlign w:val="center"/>
            <w:shd w:fill="F9FAFB"/>
          </w:tcPr>
          <w:p>
            <w:pPr>
              <w:spacing w:after="0"/>
            </w:pPr>
            <w:r/>
            <w:r>
              <w:rPr>
                <w:rFonts w:ascii="Aptos" w:hAnsi="Aptos"/>
                <w:b w:val="0"/>
                <w:color w:val="111827"/>
                <w:sz w:val="16"/>
              </w:rPr>
              <w:t>Revenue contribution, win rate, average value, retention/expansion or lower acquisition inefficiency where measurable.</w:t>
            </w:r>
          </w:p>
        </w:tc>
      </w:tr>
      <w:tr>
        <w:tc>
          <w:tcPr>
            <w:tcW w:type="dxa" w:w="5083"/>
            <w:vAlign w:val="center"/>
          </w:tcPr>
          <w:p>
            <w:pPr>
              <w:spacing w:after="0"/>
            </w:pPr>
            <w:r/>
            <w:r>
              <w:rPr>
                <w:rFonts w:ascii="Aptos" w:hAnsi="Aptos"/>
                <w:b w:val="0"/>
                <w:color w:val="111827"/>
                <w:sz w:val="16"/>
              </w:rPr>
              <w:t>Organisational impact</w:t>
            </w:r>
          </w:p>
        </w:tc>
        <w:tc>
          <w:tcPr>
            <w:tcW w:type="dxa" w:w="5083"/>
            <w:vAlign w:val="center"/>
          </w:tcPr>
          <w:p>
            <w:pPr>
              <w:spacing w:after="0"/>
            </w:pPr>
            <w:r/>
            <w:r>
              <w:rPr>
                <w:rFonts w:ascii="Aptos" w:hAnsi="Aptos"/>
                <w:b w:val="0"/>
                <w:color w:val="111827"/>
                <w:sz w:val="16"/>
              </w:rPr>
              <w:t>Better governance, fewer disconnected vendors, faster decisions and repeatable growth processes.</w:t>
            </w:r>
          </w:p>
        </w:tc>
      </w:tr>
    </w:tbl>
    <w:p>
      <w:pPr>
        <w:spacing w:after="0"/>
      </w:pPr>
    </w:p>
    <w:p>
      <w:pPr>
        <w:pStyle w:val="Heading1"/>
      </w:pPr>
      <w:r>
        <w:t>16. Measurement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Measurement level</w:t>
            </w:r>
          </w:p>
        </w:tc>
        <w:tc>
          <w:tcPr>
            <w:tcW w:type="dxa" w:w="3389"/>
            <w:shd w:fill="111827"/>
            <w:vAlign w:val="center"/>
          </w:tcPr>
          <w:p>
            <w:pPr>
              <w:spacing w:after="0"/>
            </w:pPr>
            <w:r/>
            <w:r>
              <w:rPr>
                <w:rFonts w:ascii="Aptos" w:hAnsi="Aptos"/>
                <w:b/>
                <w:color w:val="FFFFFF"/>
                <w:sz w:val="16"/>
              </w:rPr>
              <w:t>Example KPIs</w:t>
            </w:r>
          </w:p>
        </w:tc>
        <w:tc>
          <w:tcPr>
            <w:tcW w:type="dxa" w:w="3389"/>
            <w:shd w:fill="111827"/>
            <w:vAlign w:val="center"/>
          </w:tcPr>
          <w:p>
            <w:pPr>
              <w:spacing w:after="0"/>
            </w:pPr>
            <w:r/>
            <w:r>
              <w:rPr>
                <w:rFonts w:ascii="Aptos" w:hAnsi="Aptos"/>
                <w:b/>
                <w:color w:val="FFFFFF"/>
                <w:sz w:val="16"/>
              </w:rPr>
              <w:t>Management question</w:t>
            </w:r>
          </w:p>
        </w:tc>
      </w:tr>
      <w:tr>
        <w:tc>
          <w:tcPr>
            <w:tcW w:type="dxa" w:w="3389"/>
            <w:vAlign w:val="center"/>
          </w:tcPr>
          <w:p>
            <w:pPr>
              <w:spacing w:after="0"/>
            </w:pPr>
            <w:r/>
            <w:r>
              <w:rPr>
                <w:rFonts w:ascii="Aptos" w:hAnsi="Aptos"/>
                <w:b w:val="0"/>
                <w:color w:val="111827"/>
                <w:sz w:val="16"/>
              </w:rPr>
              <w:t>Business outcome</w:t>
            </w:r>
          </w:p>
        </w:tc>
        <w:tc>
          <w:tcPr>
            <w:tcW w:type="dxa" w:w="3389"/>
            <w:vAlign w:val="center"/>
          </w:tcPr>
          <w:p>
            <w:pPr>
              <w:spacing w:after="0"/>
            </w:pPr>
            <w:r/>
            <w:r>
              <w:rPr>
                <w:rFonts w:ascii="Aptos" w:hAnsi="Aptos"/>
                <w:b w:val="0"/>
                <w:color w:val="111827"/>
                <w:sz w:val="16"/>
              </w:rPr>
              <w:t>Revenue growth, gross margin contribution, customer growth, retention, expansion, market penetration.</w:t>
            </w:r>
          </w:p>
        </w:tc>
        <w:tc>
          <w:tcPr>
            <w:tcW w:type="dxa" w:w="3389"/>
            <w:vAlign w:val="center"/>
          </w:tcPr>
          <w:p>
            <w:pPr>
              <w:spacing w:after="0"/>
            </w:pPr>
            <w:r/>
            <w:r>
              <w:rPr>
                <w:rFonts w:ascii="Aptos" w:hAnsi="Aptos"/>
                <w:b w:val="0"/>
                <w:color w:val="111827"/>
                <w:sz w:val="16"/>
              </w:rPr>
              <w:t>Is the organisation moving to the defined next level?</w:t>
            </w:r>
          </w:p>
        </w:tc>
      </w:tr>
      <w:tr>
        <w:tc>
          <w:tcPr>
            <w:tcW w:type="dxa" w:w="3389"/>
            <w:vAlign w:val="center"/>
            <w:shd w:fill="F9FAFB"/>
          </w:tcPr>
          <w:p>
            <w:pPr>
              <w:spacing w:after="0"/>
            </w:pPr>
            <w:r/>
            <w:r>
              <w:rPr>
                <w:rFonts w:ascii="Aptos" w:hAnsi="Aptos"/>
                <w:b w:val="0"/>
                <w:color w:val="111827"/>
                <w:sz w:val="16"/>
              </w:rPr>
              <w:t>Pipeline</w:t>
            </w:r>
          </w:p>
        </w:tc>
        <w:tc>
          <w:tcPr>
            <w:tcW w:type="dxa" w:w="3389"/>
            <w:vAlign w:val="center"/>
            <w:shd w:fill="F9FAFB"/>
          </w:tcPr>
          <w:p>
            <w:pPr>
              <w:spacing w:after="0"/>
            </w:pPr>
            <w:r/>
            <w:r>
              <w:rPr>
                <w:rFonts w:ascii="Aptos" w:hAnsi="Aptos"/>
                <w:b w:val="0"/>
                <w:color w:val="111827"/>
                <w:sz w:val="16"/>
              </w:rPr>
              <w:t>Qualified pipeline, opportunity value, win rate, velocity, lead-to-opportunity and opportunity-to-customer conversion.</w:t>
            </w:r>
          </w:p>
        </w:tc>
        <w:tc>
          <w:tcPr>
            <w:tcW w:type="dxa" w:w="3389"/>
            <w:vAlign w:val="center"/>
            <w:shd w:fill="F9FAFB"/>
          </w:tcPr>
          <w:p>
            <w:pPr>
              <w:spacing w:after="0"/>
            </w:pPr>
            <w:r/>
            <w:r>
              <w:rPr>
                <w:rFonts w:ascii="Aptos" w:hAnsi="Aptos"/>
                <w:b w:val="0"/>
                <w:color w:val="111827"/>
                <w:sz w:val="16"/>
              </w:rPr>
              <w:t>Is demand becoming business?</w:t>
            </w:r>
          </w:p>
        </w:tc>
      </w:tr>
      <w:tr>
        <w:tc>
          <w:tcPr>
            <w:tcW w:type="dxa" w:w="3389"/>
            <w:vAlign w:val="center"/>
          </w:tcPr>
          <w:p>
            <w:pPr>
              <w:spacing w:after="0"/>
            </w:pPr>
            <w:r/>
            <w:r>
              <w:rPr>
                <w:rFonts w:ascii="Aptos" w:hAnsi="Aptos"/>
                <w:b w:val="0"/>
                <w:color w:val="111827"/>
                <w:sz w:val="16"/>
              </w:rPr>
              <w:t>Conversion</w:t>
            </w:r>
          </w:p>
        </w:tc>
        <w:tc>
          <w:tcPr>
            <w:tcW w:type="dxa" w:w="3389"/>
            <w:vAlign w:val="center"/>
          </w:tcPr>
          <w:p>
            <w:pPr>
              <w:spacing w:after="0"/>
            </w:pPr>
            <w:r/>
            <w:r>
              <w:rPr>
                <w:rFonts w:ascii="Aptos" w:hAnsi="Aptos"/>
                <w:b w:val="0"/>
                <w:color w:val="111827"/>
                <w:sz w:val="16"/>
              </w:rPr>
              <w:t>Visitor/enquiry conversion, CTA performance, qualification rate, meeting/show rate, funnel leakage.</w:t>
            </w:r>
          </w:p>
        </w:tc>
        <w:tc>
          <w:tcPr>
            <w:tcW w:type="dxa" w:w="3389"/>
            <w:vAlign w:val="center"/>
          </w:tcPr>
          <w:p>
            <w:pPr>
              <w:spacing w:after="0"/>
            </w:pPr>
            <w:r/>
            <w:r>
              <w:rPr>
                <w:rFonts w:ascii="Aptos" w:hAnsi="Aptos"/>
                <w:b w:val="0"/>
                <w:color w:val="111827"/>
                <w:sz w:val="16"/>
              </w:rPr>
              <w:t>Are journeys working?</w:t>
            </w:r>
          </w:p>
        </w:tc>
      </w:tr>
      <w:tr>
        <w:tc>
          <w:tcPr>
            <w:tcW w:type="dxa" w:w="3389"/>
            <w:vAlign w:val="center"/>
            <w:shd w:fill="F9FAFB"/>
          </w:tcPr>
          <w:p>
            <w:pPr>
              <w:spacing w:after="0"/>
            </w:pPr>
            <w:r/>
            <w:r>
              <w:rPr>
                <w:rFonts w:ascii="Aptos" w:hAnsi="Aptos"/>
                <w:b w:val="0"/>
                <w:color w:val="111827"/>
                <w:sz w:val="16"/>
              </w:rPr>
              <w:t>Demand</w:t>
            </w:r>
          </w:p>
        </w:tc>
        <w:tc>
          <w:tcPr>
            <w:tcW w:type="dxa" w:w="3389"/>
            <w:vAlign w:val="center"/>
            <w:shd w:fill="F9FAFB"/>
          </w:tcPr>
          <w:p>
            <w:pPr>
              <w:spacing w:after="0"/>
            </w:pPr>
            <w:r/>
            <w:r>
              <w:rPr>
                <w:rFonts w:ascii="Aptos" w:hAnsi="Aptos"/>
                <w:b w:val="0"/>
                <w:color w:val="111827"/>
                <w:sz w:val="16"/>
              </w:rPr>
              <w:t>Relevant reach, inbound demand, target-account engagement, share of search/voice where useful, partner/referral demand.</w:t>
            </w:r>
          </w:p>
        </w:tc>
        <w:tc>
          <w:tcPr>
            <w:tcW w:type="dxa" w:w="3389"/>
            <w:vAlign w:val="center"/>
            <w:shd w:fill="F9FAFB"/>
          </w:tcPr>
          <w:p>
            <w:pPr>
              <w:spacing w:after="0"/>
            </w:pPr>
            <w:r/>
            <w:r>
              <w:rPr>
                <w:rFonts w:ascii="Aptos" w:hAnsi="Aptos"/>
                <w:b w:val="0"/>
                <w:color w:val="111827"/>
                <w:sz w:val="16"/>
              </w:rPr>
              <w:t>Are the right audiences entering the system?</w:t>
            </w:r>
          </w:p>
        </w:tc>
      </w:tr>
      <w:tr>
        <w:tc>
          <w:tcPr>
            <w:tcW w:type="dxa" w:w="3389"/>
            <w:vAlign w:val="center"/>
          </w:tcPr>
          <w:p>
            <w:pPr>
              <w:spacing w:after="0"/>
            </w:pPr>
            <w:r/>
            <w:r>
              <w:rPr>
                <w:rFonts w:ascii="Aptos" w:hAnsi="Aptos"/>
                <w:b w:val="0"/>
                <w:color w:val="111827"/>
                <w:sz w:val="16"/>
              </w:rPr>
              <w:t>Trust/authority</w:t>
            </w:r>
          </w:p>
        </w:tc>
        <w:tc>
          <w:tcPr>
            <w:tcW w:type="dxa" w:w="3389"/>
            <w:vAlign w:val="center"/>
          </w:tcPr>
          <w:p>
            <w:pPr>
              <w:spacing w:after="0"/>
            </w:pPr>
            <w:r/>
            <w:r>
              <w:rPr>
                <w:rFonts w:ascii="Aptos" w:hAnsi="Aptos"/>
                <w:b w:val="0"/>
                <w:color w:val="111827"/>
                <w:sz w:val="16"/>
              </w:rPr>
              <w:t>Reviews, case proof, branded search, earned mentions, backlinks, expert invitations, sentiment signals.</w:t>
            </w:r>
          </w:p>
        </w:tc>
        <w:tc>
          <w:tcPr>
            <w:tcW w:type="dxa" w:w="3389"/>
            <w:vAlign w:val="center"/>
          </w:tcPr>
          <w:p>
            <w:pPr>
              <w:spacing w:after="0"/>
            </w:pPr>
            <w:r/>
            <w:r>
              <w:rPr>
                <w:rFonts w:ascii="Aptos" w:hAnsi="Aptos"/>
                <w:b w:val="0"/>
                <w:color w:val="111827"/>
                <w:sz w:val="16"/>
              </w:rPr>
              <w:t>Does the market increasingly trust and validate us?</w:t>
            </w:r>
          </w:p>
        </w:tc>
      </w:tr>
      <w:tr>
        <w:tc>
          <w:tcPr>
            <w:tcW w:type="dxa" w:w="3389"/>
            <w:vAlign w:val="center"/>
            <w:shd w:fill="F9FAFB"/>
          </w:tcPr>
          <w:p>
            <w:pPr>
              <w:spacing w:after="0"/>
            </w:pPr>
            <w:r/>
            <w:r>
              <w:rPr>
                <w:rFonts w:ascii="Aptos" w:hAnsi="Aptos"/>
                <w:b w:val="0"/>
                <w:color w:val="111827"/>
                <w:sz w:val="16"/>
              </w:rPr>
              <w:t>Nurture</w:t>
            </w:r>
          </w:p>
        </w:tc>
        <w:tc>
          <w:tcPr>
            <w:tcW w:type="dxa" w:w="3389"/>
            <w:vAlign w:val="center"/>
            <w:shd w:fill="F9FAFB"/>
          </w:tcPr>
          <w:p>
            <w:pPr>
              <w:spacing w:after="0"/>
            </w:pPr>
            <w:r/>
            <w:r>
              <w:rPr>
                <w:rFonts w:ascii="Aptos" w:hAnsi="Aptos"/>
                <w:b w:val="0"/>
                <w:color w:val="111827"/>
                <w:sz w:val="16"/>
              </w:rPr>
              <w:t>Response, progression, reactivation, content-assisted movement and CRM stage movement.</w:t>
            </w:r>
          </w:p>
        </w:tc>
        <w:tc>
          <w:tcPr>
            <w:tcW w:type="dxa" w:w="3389"/>
            <w:vAlign w:val="center"/>
            <w:shd w:fill="F9FAFB"/>
          </w:tcPr>
          <w:p>
            <w:pPr>
              <w:spacing w:after="0"/>
            </w:pPr>
            <w:r/>
            <w:r>
              <w:rPr>
                <w:rFonts w:ascii="Aptos" w:hAnsi="Aptos"/>
                <w:b w:val="0"/>
                <w:color w:val="111827"/>
                <w:sz w:val="16"/>
              </w:rPr>
              <w:t>Are we progressing interest rather than losing it?</w:t>
            </w:r>
          </w:p>
        </w:tc>
      </w:tr>
      <w:tr>
        <w:tc>
          <w:tcPr>
            <w:tcW w:type="dxa" w:w="3389"/>
            <w:vAlign w:val="center"/>
          </w:tcPr>
          <w:p>
            <w:pPr>
              <w:spacing w:after="0"/>
            </w:pPr>
            <w:r/>
            <w:r>
              <w:rPr>
                <w:rFonts w:ascii="Aptos" w:hAnsi="Aptos"/>
                <w:b w:val="0"/>
                <w:color w:val="111827"/>
                <w:sz w:val="16"/>
              </w:rPr>
              <w:t>Execution/governance</w:t>
            </w:r>
          </w:p>
        </w:tc>
        <w:tc>
          <w:tcPr>
            <w:tcW w:type="dxa" w:w="3389"/>
            <w:vAlign w:val="center"/>
          </w:tcPr>
          <w:p>
            <w:pPr>
              <w:spacing w:after="0"/>
            </w:pPr>
            <w:r/>
            <w:r>
              <w:rPr>
                <w:rFonts w:ascii="Aptos" w:hAnsi="Aptos"/>
                <w:b w:val="0"/>
                <w:color w:val="111827"/>
                <w:sz w:val="16"/>
              </w:rPr>
              <w:t>Milestone completion, SLA adherence, vendor performance, decision turnaround and corrective-action closure.</w:t>
            </w:r>
          </w:p>
        </w:tc>
        <w:tc>
          <w:tcPr>
            <w:tcW w:type="dxa" w:w="3389"/>
            <w:vAlign w:val="center"/>
          </w:tcPr>
          <w:p>
            <w:pPr>
              <w:spacing w:after="0"/>
            </w:pPr>
            <w:r/>
            <w:r>
              <w:rPr>
                <w:rFonts w:ascii="Aptos" w:hAnsi="Aptos"/>
                <w:b w:val="0"/>
                <w:color w:val="111827"/>
                <w:sz w:val="16"/>
              </w:rPr>
              <w:t>Is the architecture being activated properly?</w:t>
            </w:r>
          </w:p>
        </w:tc>
      </w:tr>
    </w:tbl>
    <w:p>
      <w:pPr>
        <w:spacing w:after="0"/>
      </w:pPr>
    </w:p>
    <w:p>
      <w:r>
        <w:t>Every client dashboard should separate activity metrics, leading indicators, pipeline metrics and business outcomes. A high volume of activity must never be presented as proof of growth.</w:t>
      </w:r>
    </w:p>
    <w:p>
      <w:pPr>
        <w:pStyle w:val="Heading1"/>
      </w:pPr>
      <w:r>
        <w:t>17. Governance Model</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Role</w:t>
            </w:r>
          </w:p>
        </w:tc>
        <w:tc>
          <w:tcPr>
            <w:tcW w:type="dxa" w:w="5083"/>
            <w:shd w:fill="111827"/>
            <w:vAlign w:val="center"/>
          </w:tcPr>
          <w:p>
            <w:pPr>
              <w:spacing w:after="0"/>
            </w:pPr>
            <w:r/>
            <w:r>
              <w:rPr>
                <w:rFonts w:ascii="Aptos" w:hAnsi="Aptos"/>
                <w:b/>
                <w:color w:val="FFFFFF"/>
                <w:sz w:val="16"/>
              </w:rPr>
              <w:t>Accountability</w:t>
            </w:r>
          </w:p>
        </w:tc>
      </w:tr>
      <w:tr>
        <w:tc>
          <w:tcPr>
            <w:tcW w:type="dxa" w:w="5083"/>
            <w:vAlign w:val="center"/>
          </w:tcPr>
          <w:p>
            <w:pPr>
              <w:spacing w:after="0"/>
            </w:pPr>
            <w:r/>
            <w:r>
              <w:rPr>
                <w:rFonts w:ascii="Aptos" w:hAnsi="Aptos"/>
                <w:b w:val="0"/>
                <w:color w:val="111827"/>
                <w:sz w:val="16"/>
              </w:rPr>
              <w:t>Client Leadership / Sponsor</w:t>
            </w:r>
          </w:p>
        </w:tc>
        <w:tc>
          <w:tcPr>
            <w:tcW w:type="dxa" w:w="5083"/>
            <w:vAlign w:val="center"/>
          </w:tcPr>
          <w:p>
            <w:pPr>
              <w:spacing w:after="0"/>
            </w:pPr>
            <w:r/>
            <w:r>
              <w:rPr>
                <w:rFonts w:ascii="Aptos" w:hAnsi="Aptos"/>
                <w:b w:val="0"/>
                <w:color w:val="111827"/>
                <w:sz w:val="16"/>
              </w:rPr>
              <w:t>Owns business ambition, major decisions, resources and organisational alignment.</w:t>
            </w:r>
          </w:p>
        </w:tc>
      </w:tr>
      <w:tr>
        <w:tc>
          <w:tcPr>
            <w:tcW w:type="dxa" w:w="5083"/>
            <w:vAlign w:val="center"/>
            <w:shd w:fill="F9FAFB"/>
          </w:tcPr>
          <w:p>
            <w:pPr>
              <w:spacing w:after="0"/>
            </w:pPr>
            <w:r/>
            <w:r>
              <w:rPr>
                <w:rFonts w:ascii="Aptos" w:hAnsi="Aptos"/>
                <w:b w:val="0"/>
                <w:color w:val="111827"/>
                <w:sz w:val="16"/>
              </w:rPr>
              <w:t>Level141 Growth Architect / Product Lead</w:t>
            </w:r>
          </w:p>
        </w:tc>
        <w:tc>
          <w:tcPr>
            <w:tcW w:type="dxa" w:w="5083"/>
            <w:vAlign w:val="center"/>
            <w:shd w:fill="F9FAFB"/>
          </w:tcPr>
          <w:p>
            <w:pPr>
              <w:spacing w:after="0"/>
            </w:pPr>
            <w:r/>
            <w:r>
              <w:rPr>
                <w:rFonts w:ascii="Aptos" w:hAnsi="Aptos"/>
                <w:b w:val="0"/>
                <w:color w:val="111827"/>
                <w:sz w:val="16"/>
              </w:rPr>
              <w:t>Owns diagnosis, integrated architecture, prioritisation, governance and strategic review.</w:t>
            </w:r>
          </w:p>
        </w:tc>
      </w:tr>
      <w:tr>
        <w:tc>
          <w:tcPr>
            <w:tcW w:type="dxa" w:w="5083"/>
            <w:vAlign w:val="center"/>
          </w:tcPr>
          <w:p>
            <w:pPr>
              <w:spacing w:after="0"/>
            </w:pPr>
            <w:r/>
            <w:r>
              <w:rPr>
                <w:rFonts w:ascii="Aptos" w:hAnsi="Aptos"/>
                <w:b w:val="0"/>
                <w:color w:val="111827"/>
                <w:sz w:val="16"/>
              </w:rPr>
              <w:t>Level141 Relationship / POC Lead</w:t>
            </w:r>
          </w:p>
        </w:tc>
        <w:tc>
          <w:tcPr>
            <w:tcW w:type="dxa" w:w="5083"/>
            <w:vAlign w:val="center"/>
          </w:tcPr>
          <w:p>
            <w:pPr>
              <w:spacing w:after="0"/>
            </w:pPr>
            <w:r/>
            <w:r>
              <w:rPr>
                <w:rFonts w:ascii="Aptos" w:hAnsi="Aptos"/>
                <w:b w:val="0"/>
                <w:color w:val="111827"/>
                <w:sz w:val="16"/>
              </w:rPr>
              <w:t>Coordinates inputs, meetings, approvals, dependencies and reporting.</w:t>
            </w:r>
          </w:p>
        </w:tc>
      </w:tr>
      <w:tr>
        <w:tc>
          <w:tcPr>
            <w:tcW w:type="dxa" w:w="5083"/>
            <w:vAlign w:val="center"/>
            <w:shd w:fill="F9FAFB"/>
          </w:tcPr>
          <w:p>
            <w:pPr>
              <w:spacing w:after="0"/>
            </w:pPr>
            <w:r/>
            <w:r>
              <w:rPr>
                <w:rFonts w:ascii="Aptos" w:hAnsi="Aptos"/>
                <w:b w:val="0"/>
                <w:color w:val="111827"/>
                <w:sz w:val="16"/>
              </w:rPr>
              <w:t>Client Marketing / Sales / Product / Operations</w:t>
            </w:r>
          </w:p>
        </w:tc>
        <w:tc>
          <w:tcPr>
            <w:tcW w:type="dxa" w:w="5083"/>
            <w:vAlign w:val="center"/>
            <w:shd w:fill="F9FAFB"/>
          </w:tcPr>
          <w:p>
            <w:pPr>
              <w:spacing w:after="0"/>
            </w:pPr>
            <w:r/>
            <w:r>
              <w:rPr>
                <w:rFonts w:ascii="Aptos" w:hAnsi="Aptos"/>
                <w:b w:val="0"/>
                <w:color w:val="111827"/>
                <w:sz w:val="16"/>
              </w:rPr>
              <w:t>Activate relevant parts of the architecture and provide performance feedback.</w:t>
            </w:r>
          </w:p>
        </w:tc>
      </w:tr>
      <w:tr>
        <w:tc>
          <w:tcPr>
            <w:tcW w:type="dxa" w:w="5083"/>
            <w:vAlign w:val="center"/>
          </w:tcPr>
          <w:p>
            <w:pPr>
              <w:spacing w:after="0"/>
            </w:pPr>
            <w:r/>
            <w:r>
              <w:rPr>
                <w:rFonts w:ascii="Aptos" w:hAnsi="Aptos"/>
                <w:b w:val="0"/>
                <w:color w:val="111827"/>
                <w:sz w:val="16"/>
              </w:rPr>
              <w:t>External Agencies / Vendors</w:t>
            </w:r>
          </w:p>
        </w:tc>
        <w:tc>
          <w:tcPr>
            <w:tcW w:type="dxa" w:w="5083"/>
            <w:vAlign w:val="center"/>
          </w:tcPr>
          <w:p>
            <w:pPr>
              <w:spacing w:after="0"/>
            </w:pPr>
            <w:r/>
            <w:r>
              <w:rPr>
                <w:rFonts w:ascii="Aptos" w:hAnsi="Aptos"/>
                <w:b w:val="0"/>
                <w:color w:val="111827"/>
                <w:sz w:val="16"/>
              </w:rPr>
              <w:t>Execute defined specialist briefs against approved standards and KPIs.</w:t>
            </w:r>
          </w:p>
        </w:tc>
      </w:tr>
      <w:tr>
        <w:tc>
          <w:tcPr>
            <w:tcW w:type="dxa" w:w="5083"/>
            <w:vAlign w:val="center"/>
            <w:shd w:fill="F9FAFB"/>
          </w:tcPr>
          <w:p>
            <w:pPr>
              <w:spacing w:after="0"/>
            </w:pPr>
            <w:r/>
            <w:r>
              <w:rPr>
                <w:rFonts w:ascii="Aptos" w:hAnsi="Aptos"/>
                <w:b w:val="0"/>
                <w:color w:val="111827"/>
                <w:sz w:val="16"/>
              </w:rPr>
              <w:t>Finance / Data Owners</w:t>
            </w:r>
          </w:p>
        </w:tc>
        <w:tc>
          <w:tcPr>
            <w:tcW w:type="dxa" w:w="5083"/>
            <w:vAlign w:val="center"/>
            <w:shd w:fill="F9FAFB"/>
          </w:tcPr>
          <w:p>
            <w:pPr>
              <w:spacing w:after="0"/>
            </w:pPr>
            <w:r/>
            <w:r>
              <w:rPr>
                <w:rFonts w:ascii="Aptos" w:hAnsi="Aptos"/>
                <w:b w:val="0"/>
                <w:color w:val="111827"/>
                <w:sz w:val="16"/>
              </w:rPr>
              <w:t>Support economics, attribution, budget and outcome validation where required.</w:t>
            </w:r>
          </w:p>
        </w:tc>
      </w:tr>
    </w:tbl>
    <w:p>
      <w:pPr>
        <w:spacing w:after="0"/>
      </w:pPr>
    </w:p>
    <w:p>
      <w:pPr>
        <w:pStyle w:val="Heading2"/>
      </w:pPr>
      <w:r>
        <w:t>Governance Rules</w:t>
      </w:r>
    </w:p>
    <w:p>
      <w:pPr>
        <w:pStyle w:val="ListBullet"/>
        <w:spacing w:after="30"/>
      </w:pPr>
      <w:r>
        <w:t>One approved Growth Architecture is the strategic source of truth.</w:t>
      </w:r>
    </w:p>
    <w:p>
      <w:pPr>
        <w:pStyle w:val="ListBullet"/>
        <w:spacing w:after="30"/>
      </w:pPr>
      <w:r>
        <w:t>Every execution initiative must trace to a diagnosed gap, PEAK™ objective or B.R.A.N.D.S. lever.</w:t>
      </w:r>
    </w:p>
    <w:p>
      <w:pPr>
        <w:pStyle w:val="ListBullet"/>
        <w:spacing w:after="30"/>
      </w:pPr>
      <w:r>
        <w:t>Reports must distinguish outputs from outcomes.</w:t>
      </w:r>
    </w:p>
    <w:p>
      <w:pPr>
        <w:pStyle w:val="ListBullet"/>
        <w:spacing w:after="30"/>
      </w:pPr>
      <w:r>
        <w:t>Vendor and internal-team reviews must use agreed KPIs and dependencies.</w:t>
      </w:r>
    </w:p>
    <w:p>
      <w:pPr>
        <w:pStyle w:val="ListBullet"/>
        <w:spacing w:after="30"/>
      </w:pPr>
      <w:r>
        <w:t>Leadership decisions and unresolved blockers must be visible in the governance dashboard.</w:t>
      </w:r>
    </w:p>
    <w:p>
      <w:pPr>
        <w:pStyle w:val="ListBullet"/>
        <w:spacing w:after="30"/>
      </w:pPr>
      <w:r>
        <w:t>Scale investment should follow readiness and evidence, not activity pressure.</w:t>
      </w:r>
    </w:p>
    <w:p>
      <w:pPr>
        <w:pStyle w:val="ListBullet"/>
        <w:spacing w:after="30"/>
      </w:pPr>
      <w:r>
        <w:t>Quarterly reviews must re-score priorities and revise the roadmap when market or business conditions change.</w:t>
      </w:r>
    </w:p>
    <w:p>
      <w:pPr>
        <w:pStyle w:val="Heading1"/>
      </w:pPr>
      <w:r>
        <w:t>18. Execution Boundary: What Level141 Owns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Level141 owns</w:t>
            </w:r>
          </w:p>
        </w:tc>
        <w:tc>
          <w:tcPr>
            <w:tcW w:type="dxa" w:w="3389"/>
            <w:shd w:fill="111827"/>
            <w:vAlign w:val="center"/>
          </w:tcPr>
          <w:p>
            <w:pPr>
              <w:spacing w:after="0"/>
            </w:pPr>
            <w:r/>
            <w:r>
              <w:rPr>
                <w:rFonts w:ascii="Aptos" w:hAnsi="Aptos"/>
                <w:b/>
                <w:color w:val="FFFFFF"/>
                <w:sz w:val="16"/>
              </w:rPr>
              <w:t>Level141 may govern / coordinate</w:t>
            </w:r>
          </w:p>
        </w:tc>
        <w:tc>
          <w:tcPr>
            <w:tcW w:type="dxa" w:w="3389"/>
            <w:shd w:fill="111827"/>
            <w:vAlign w:val="center"/>
          </w:tcPr>
          <w:p>
            <w:pPr>
              <w:spacing w:after="0"/>
            </w:pPr>
            <w:r/>
            <w:r>
              <w:rPr>
                <w:rFonts w:ascii="Aptos" w:hAnsi="Aptos"/>
                <w:b/>
                <w:color w:val="FFFFFF"/>
                <w:sz w:val="16"/>
              </w:rPr>
              <w:t>Not inherently included unless separately scoped</w:t>
            </w:r>
          </w:p>
        </w:tc>
      </w:tr>
      <w:tr>
        <w:tc>
          <w:tcPr>
            <w:tcW w:type="dxa" w:w="3389"/>
            <w:vAlign w:val="center"/>
          </w:tcPr>
          <w:p>
            <w:pPr>
              <w:spacing w:after="0"/>
            </w:pPr>
            <w:r/>
            <w:r>
              <w:rPr>
                <w:rFonts w:ascii="Aptos" w:hAnsi="Aptos"/>
                <w:b w:val="0"/>
                <w:color w:val="111827"/>
                <w:sz w:val="16"/>
              </w:rPr>
              <w:t>Diagnosis; growth architecture; prioritisation; strategic briefs; KPI architecture; governance; review and correction.</w:t>
            </w:r>
          </w:p>
        </w:tc>
        <w:tc>
          <w:tcPr>
            <w:tcW w:type="dxa" w:w="3389"/>
            <w:vAlign w:val="center"/>
          </w:tcPr>
          <w:p>
            <w:pPr>
              <w:spacing w:after="0"/>
            </w:pPr>
            <w:r/>
            <w:r>
              <w:rPr>
                <w:rFonts w:ascii="Aptos" w:hAnsi="Aptos"/>
                <w:b w:val="0"/>
                <w:color w:val="111827"/>
                <w:sz w:val="16"/>
              </w:rPr>
              <w:t>Client teams; specialist agencies; content/creative vendors; PR; media; digital/performance; technology and CRM specialists.</w:t>
            </w:r>
          </w:p>
        </w:tc>
        <w:tc>
          <w:tcPr>
            <w:tcW w:type="dxa" w:w="3389"/>
            <w:vAlign w:val="center"/>
          </w:tcPr>
          <w:p>
            <w:pPr>
              <w:spacing w:after="0"/>
            </w:pPr>
            <w:r/>
            <w:r>
              <w:rPr>
                <w:rFonts w:ascii="Aptos" w:hAnsi="Aptos"/>
                <w:b w:val="0"/>
                <w:color w:val="111827"/>
                <w:sz w:val="16"/>
              </w:rPr>
              <w:t>Daily social posting; production volume; ad buying; web development; CRM implementation; telesales; field sales; PR placement; design production or other specialist execution.</w:t>
            </w:r>
          </w:p>
        </w:tc>
      </w:tr>
    </w:tbl>
    <w:p>
      <w:pPr>
        <w:spacing w:after="0"/>
      </w:pPr>
    </w:p>
    <w:p>
      <w:r>
        <w:t>The boundary is essential to product integrity: Level141 must not become the very collection of disconnected execution activities that Growth Architecture is designed to integrate.</w:t>
      </w:r>
    </w:p>
    <w:p>
      <w:pPr>
        <w:pStyle w:val="Heading1"/>
      </w:pPr>
      <w:r>
        <w:t>19. Sales Playbook</w:t>
      </w:r>
    </w:p>
    <w:p>
      <w:pPr>
        <w:pStyle w:val="Heading2"/>
      </w:pPr>
      <w:r>
        <w:t>Core Sales Narrative</w:t>
      </w:r>
    </w:p>
    <w:p>
      <w:r>
        <w:t>Do not ask first, 'What marketing do you need?' Ask, 'What is the next level of the business, what is preventing you from reaching it, and which parts of the growth system are disconnected?' The sale is the architecture of the gap, not a menu of activities.</w:t>
      </w:r>
    </w:p>
    <w:p>
      <w:pPr>
        <w:pStyle w:val="Heading2"/>
      </w:pPr>
      <w:r>
        <w:t>Discovery Questions</w:t>
      </w:r>
    </w:p>
    <w:p>
      <w:pPr>
        <w:pStyle w:val="ListNumber"/>
        <w:spacing w:after="30"/>
      </w:pPr>
      <w:r>
        <w:t>Where is the organisation today in revenue, customers, market presence and growth capacity?</w:t>
      </w:r>
    </w:p>
    <w:p>
      <w:pPr>
        <w:pStyle w:val="ListNumber"/>
        <w:spacing w:after="30"/>
      </w:pPr>
      <w:r>
        <w:t>What does the next level look like in 12–36 months?</w:t>
      </w:r>
    </w:p>
    <w:p>
      <w:pPr>
        <w:pStyle w:val="ListNumber"/>
        <w:spacing w:after="30"/>
      </w:pPr>
      <w:r>
        <w:t>What has stopped the company from reaching it already?</w:t>
      </w:r>
    </w:p>
    <w:p>
      <w:pPr>
        <w:pStyle w:val="ListNumber"/>
        <w:spacing w:after="30"/>
      </w:pPr>
      <w:r>
        <w:t>Who is the highest-value ICP and why do they buy?</w:t>
      </w:r>
    </w:p>
    <w:p>
      <w:pPr>
        <w:pStyle w:val="ListNumber"/>
        <w:spacing w:after="30"/>
      </w:pPr>
      <w:r>
        <w:t>Where does the funnel lose the most value today?</w:t>
      </w:r>
    </w:p>
    <w:p>
      <w:pPr>
        <w:pStyle w:val="ListNumber"/>
        <w:spacing w:after="30"/>
      </w:pPr>
      <w:r>
        <w:t>Which growth activities are currently outsourced or distributed across teams?</w:t>
      </w:r>
    </w:p>
    <w:p>
      <w:pPr>
        <w:pStyle w:val="ListNumber"/>
        <w:spacing w:after="30"/>
      </w:pPr>
      <w:r>
        <w:t>How are marketing and sales aligned on qualification and pipeline?</w:t>
      </w:r>
    </w:p>
    <w:p>
      <w:pPr>
        <w:pStyle w:val="ListNumber"/>
        <w:spacing w:after="30"/>
      </w:pPr>
      <w:r>
        <w:t>What creates trust before a buyer speaks to sales?</w:t>
      </w:r>
    </w:p>
    <w:p>
      <w:pPr>
        <w:pStyle w:val="ListNumber"/>
        <w:spacing w:after="30"/>
      </w:pPr>
      <w:r>
        <w:t>Which growth metrics does leadership review today?</w:t>
      </w:r>
    </w:p>
    <w:p>
      <w:pPr>
        <w:pStyle w:val="ListNumber"/>
        <w:spacing w:after="30"/>
      </w:pPr>
      <w:r>
        <w:t>Where is spending increasing without proportional results?</w:t>
      </w:r>
    </w:p>
    <w:p>
      <w:pPr>
        <w:pStyle w:val="ListNumber"/>
        <w:spacing w:after="30"/>
      </w:pPr>
      <w:r>
        <w:t>If demand doubled next month, could the organisation convert and fulfil it?</w:t>
      </w:r>
    </w:p>
    <w:p>
      <w:pPr>
        <w:pStyle w:val="ListNumber"/>
        <w:spacing w:after="30"/>
      </w:pPr>
      <w:r>
        <w:t>Which three business outcomes would make this engagement unquestionably valuable?</w:t>
      </w:r>
    </w:p>
    <w:p>
      <w:pPr>
        <w:pStyle w:val="Heading2"/>
      </w:pPr>
      <w:r>
        <w:t>Common Objections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Objection</w:t>
            </w:r>
          </w:p>
        </w:tc>
        <w:tc>
          <w:tcPr>
            <w:tcW w:type="dxa" w:w="5083"/>
            <w:shd w:fill="111827"/>
            <w:vAlign w:val="center"/>
          </w:tcPr>
          <w:p>
            <w:pPr>
              <w:spacing w:after="0"/>
            </w:pPr>
            <w:r/>
            <w:r>
              <w:rPr>
                <w:rFonts w:ascii="Aptos" w:hAnsi="Aptos"/>
                <w:b/>
                <w:color w:val="FFFFFF"/>
                <w:sz w:val="16"/>
              </w:rPr>
              <w:t>Response logic</w:t>
            </w:r>
          </w:p>
        </w:tc>
      </w:tr>
      <w:tr>
        <w:tc>
          <w:tcPr>
            <w:tcW w:type="dxa" w:w="5083"/>
            <w:vAlign w:val="center"/>
          </w:tcPr>
          <w:p>
            <w:pPr>
              <w:spacing w:after="0"/>
            </w:pPr>
            <w:r/>
            <w:r>
              <w:rPr>
                <w:rFonts w:ascii="Aptos" w:hAnsi="Aptos"/>
                <w:b w:val="0"/>
                <w:color w:val="111827"/>
                <w:sz w:val="16"/>
              </w:rPr>
              <w:t>'We already have a marketing agency.'</w:t>
            </w:r>
          </w:p>
        </w:tc>
        <w:tc>
          <w:tcPr>
            <w:tcW w:type="dxa" w:w="5083"/>
            <w:vAlign w:val="center"/>
          </w:tcPr>
          <w:p>
            <w:pPr>
              <w:spacing w:after="0"/>
            </w:pPr>
            <w:r/>
            <w:r>
              <w:rPr>
                <w:rFonts w:ascii="Aptos" w:hAnsi="Aptos"/>
                <w:b w:val="0"/>
                <w:color w:val="111827"/>
                <w:sz w:val="16"/>
              </w:rPr>
              <w:t>Growth Architecture is not designed to replace capable execution. It gives agencies and internal teams one integrated system, priorities and business-linked governance.</w:t>
            </w:r>
          </w:p>
        </w:tc>
      </w:tr>
      <w:tr>
        <w:tc>
          <w:tcPr>
            <w:tcW w:type="dxa" w:w="5083"/>
            <w:vAlign w:val="center"/>
            <w:shd w:fill="F9FAFB"/>
          </w:tcPr>
          <w:p>
            <w:pPr>
              <w:spacing w:after="0"/>
            </w:pPr>
            <w:r/>
            <w:r>
              <w:rPr>
                <w:rFonts w:ascii="Aptos" w:hAnsi="Aptos"/>
                <w:b w:val="0"/>
                <w:color w:val="111827"/>
                <w:sz w:val="16"/>
              </w:rPr>
              <w:t>'We need leads, not strategy.'</w:t>
            </w:r>
          </w:p>
        </w:tc>
        <w:tc>
          <w:tcPr>
            <w:tcW w:type="dxa" w:w="5083"/>
            <w:vAlign w:val="center"/>
            <w:shd w:fill="F9FAFB"/>
          </w:tcPr>
          <w:p>
            <w:pPr>
              <w:spacing w:after="0"/>
            </w:pPr>
            <w:r/>
            <w:r>
              <w:rPr>
                <w:rFonts w:ascii="Aptos" w:hAnsi="Aptos"/>
                <w:b w:val="0"/>
                <w:color w:val="111827"/>
                <w:sz w:val="16"/>
              </w:rPr>
              <w:t>If the system cannot target, build trust, nurture, qualify and convert, buying more leads increases waste. The architecture identifies the shortest route to productive demand.</w:t>
            </w:r>
          </w:p>
        </w:tc>
      </w:tr>
      <w:tr>
        <w:tc>
          <w:tcPr>
            <w:tcW w:type="dxa" w:w="5083"/>
            <w:vAlign w:val="center"/>
          </w:tcPr>
          <w:p>
            <w:pPr>
              <w:spacing w:after="0"/>
            </w:pPr>
            <w:r/>
            <w:r>
              <w:rPr>
                <w:rFonts w:ascii="Aptos" w:hAnsi="Aptos"/>
                <w:b w:val="0"/>
                <w:color w:val="111827"/>
                <w:sz w:val="16"/>
              </w:rPr>
              <w:t>'Can you guarantee revenue?'</w:t>
            </w:r>
          </w:p>
        </w:tc>
        <w:tc>
          <w:tcPr>
            <w:tcW w:type="dxa" w:w="5083"/>
            <w:vAlign w:val="center"/>
          </w:tcPr>
          <w:p>
            <w:pPr>
              <w:spacing w:after="0"/>
            </w:pPr>
            <w:r/>
            <w:r>
              <w:rPr>
                <w:rFonts w:ascii="Aptos" w:hAnsi="Aptos"/>
                <w:b w:val="0"/>
                <w:color w:val="111827"/>
                <w:sz w:val="16"/>
              </w:rPr>
              <w:t>No responsible architecture can guarantee revenue because pricing, product, sales, capacity and market conditions also affect outcomes. We define and govern the growth system and measure its contribution.</w:t>
            </w:r>
          </w:p>
        </w:tc>
      </w:tr>
      <w:tr>
        <w:tc>
          <w:tcPr>
            <w:tcW w:type="dxa" w:w="5083"/>
            <w:vAlign w:val="center"/>
            <w:shd w:fill="F9FAFB"/>
          </w:tcPr>
          <w:p>
            <w:pPr>
              <w:spacing w:after="0"/>
            </w:pPr>
            <w:r/>
            <w:r>
              <w:rPr>
                <w:rFonts w:ascii="Aptos" w:hAnsi="Aptos"/>
                <w:b w:val="0"/>
                <w:color w:val="111827"/>
                <w:sz w:val="16"/>
              </w:rPr>
              <w:t>'Why not hire a CMO?'</w:t>
            </w:r>
          </w:p>
        </w:tc>
        <w:tc>
          <w:tcPr>
            <w:tcW w:type="dxa" w:w="5083"/>
            <w:vAlign w:val="center"/>
            <w:shd w:fill="F9FAFB"/>
          </w:tcPr>
          <w:p>
            <w:pPr>
              <w:spacing w:after="0"/>
            </w:pPr>
            <w:r/>
            <w:r>
              <w:rPr>
                <w:rFonts w:ascii="Aptos" w:hAnsi="Aptos"/>
                <w:b w:val="0"/>
                <w:color w:val="111827"/>
                <w:sz w:val="16"/>
              </w:rPr>
              <w:t>A strong CMO can be valuable. Level141 provides a defined architecture and governance system that can support leadership, internal teams and future hires rather than depending on one individual's operating style.</w:t>
            </w:r>
          </w:p>
        </w:tc>
      </w:tr>
      <w:tr>
        <w:tc>
          <w:tcPr>
            <w:tcW w:type="dxa" w:w="5083"/>
            <w:vAlign w:val="center"/>
          </w:tcPr>
          <w:p>
            <w:pPr>
              <w:spacing w:after="0"/>
            </w:pPr>
            <w:r/>
            <w:r>
              <w:rPr>
                <w:rFonts w:ascii="Aptos" w:hAnsi="Aptos"/>
                <w:b w:val="0"/>
                <w:color w:val="111827"/>
                <w:sz w:val="16"/>
              </w:rPr>
              <w:t>'This sounds like consulting.'</w:t>
            </w:r>
          </w:p>
        </w:tc>
        <w:tc>
          <w:tcPr>
            <w:tcW w:type="dxa" w:w="5083"/>
            <w:vAlign w:val="center"/>
          </w:tcPr>
          <w:p>
            <w:pPr>
              <w:spacing w:after="0"/>
            </w:pPr>
            <w:r/>
            <w:r>
              <w:rPr>
                <w:rFonts w:ascii="Aptos" w:hAnsi="Aptos"/>
                <w:b w:val="0"/>
                <w:color w:val="111827"/>
                <w:sz w:val="16"/>
              </w:rPr>
              <w:t>It includes strategic diagnosis, but goes further into an execution-ready architecture, KPI tree, briefs, ownership, governance and continuous correction.</w:t>
            </w:r>
          </w:p>
        </w:tc>
      </w:tr>
    </w:tbl>
    <w:p>
      <w:pPr>
        <w:spacing w:after="0"/>
      </w:pPr>
    </w:p>
    <w:p>
      <w:pPr>
        <w:pStyle w:val="Heading1"/>
      </w:pPr>
      <w:r>
        <w:t>20. Packaging &amp; Commercial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Layer</w:t>
            </w:r>
          </w:p>
        </w:tc>
        <w:tc>
          <w:tcPr>
            <w:tcW w:type="dxa" w:w="3389"/>
            <w:shd w:fill="111827"/>
            <w:vAlign w:val="center"/>
          </w:tcPr>
          <w:p>
            <w:pPr>
              <w:spacing w:after="0"/>
            </w:pPr>
            <w:r/>
            <w:r>
              <w:rPr>
                <w:rFonts w:ascii="Aptos" w:hAnsi="Aptos"/>
                <w:b/>
                <w:color w:val="FFFFFF"/>
                <w:sz w:val="16"/>
              </w:rPr>
              <w:t>Purpose</w:t>
            </w:r>
          </w:p>
        </w:tc>
        <w:tc>
          <w:tcPr>
            <w:tcW w:type="dxa" w:w="3389"/>
            <w:shd w:fill="111827"/>
            <w:vAlign w:val="center"/>
          </w:tcPr>
          <w:p>
            <w:pPr>
              <w:spacing w:after="0"/>
            </w:pPr>
            <w:r/>
            <w:r>
              <w:rPr>
                <w:rFonts w:ascii="Aptos" w:hAnsi="Aptos"/>
                <w:b/>
                <w:color w:val="FFFFFF"/>
                <w:sz w:val="16"/>
              </w:rPr>
              <w:t>Typical scope</w:t>
            </w:r>
          </w:p>
        </w:tc>
      </w:tr>
      <w:tr>
        <w:tc>
          <w:tcPr>
            <w:tcW w:type="dxa" w:w="3389"/>
            <w:vAlign w:val="center"/>
          </w:tcPr>
          <w:p>
            <w:pPr>
              <w:spacing w:after="0"/>
            </w:pPr>
            <w:r/>
            <w:r>
              <w:rPr>
                <w:rFonts w:ascii="Aptos" w:hAnsi="Aptos"/>
                <w:b w:val="0"/>
                <w:color w:val="111827"/>
                <w:sz w:val="16"/>
              </w:rPr>
              <w:t>Growth Architecture Project</w:t>
            </w:r>
          </w:p>
        </w:tc>
        <w:tc>
          <w:tcPr>
            <w:tcW w:type="dxa" w:w="3389"/>
            <w:vAlign w:val="center"/>
          </w:tcPr>
          <w:p>
            <w:pPr>
              <w:spacing w:after="0"/>
            </w:pPr>
            <w:r/>
            <w:r>
              <w:rPr>
                <w:rFonts w:ascii="Aptos" w:hAnsi="Aptos"/>
                <w:b w:val="0"/>
                <w:color w:val="111827"/>
                <w:sz w:val="16"/>
              </w:rPr>
              <w:t>Diagnose and build the integrated system.</w:t>
            </w:r>
          </w:p>
        </w:tc>
        <w:tc>
          <w:tcPr>
            <w:tcW w:type="dxa" w:w="3389"/>
            <w:vAlign w:val="center"/>
          </w:tcPr>
          <w:p>
            <w:pPr>
              <w:spacing w:after="0"/>
            </w:pPr>
            <w:r/>
            <w:r>
              <w:rPr>
                <w:rFonts w:ascii="Aptos" w:hAnsi="Aptos"/>
                <w:b w:val="0"/>
                <w:color w:val="111827"/>
                <w:sz w:val="16"/>
              </w:rPr>
              <w:t>LQ™ audit, Next-Level definition, PEAK™, B.R.A.N.D.S., growth-gap blueprint, KPI tree and roadmaps.</w:t>
            </w:r>
          </w:p>
        </w:tc>
      </w:tr>
      <w:tr>
        <w:tc>
          <w:tcPr>
            <w:tcW w:type="dxa" w:w="3389"/>
            <w:vAlign w:val="center"/>
            <w:shd w:fill="F9FAFB"/>
          </w:tcPr>
          <w:p>
            <w:pPr>
              <w:spacing w:after="0"/>
            </w:pPr>
            <w:r/>
            <w:r>
              <w:rPr>
                <w:rFonts w:ascii="Aptos" w:hAnsi="Aptos"/>
                <w:b w:val="0"/>
                <w:color w:val="111827"/>
                <w:sz w:val="16"/>
              </w:rPr>
              <w:t>90-Day Activation / Transition</w:t>
            </w:r>
          </w:p>
        </w:tc>
        <w:tc>
          <w:tcPr>
            <w:tcW w:type="dxa" w:w="3389"/>
            <w:vAlign w:val="center"/>
            <w:shd w:fill="F9FAFB"/>
          </w:tcPr>
          <w:p>
            <w:pPr>
              <w:spacing w:after="0"/>
            </w:pPr>
            <w:r/>
            <w:r>
              <w:rPr>
                <w:rFonts w:ascii="Aptos" w:hAnsi="Aptos"/>
                <w:b w:val="0"/>
                <w:color w:val="111827"/>
                <w:sz w:val="16"/>
              </w:rPr>
              <w:t>Convert architecture into operating priorities.</w:t>
            </w:r>
          </w:p>
        </w:tc>
        <w:tc>
          <w:tcPr>
            <w:tcW w:type="dxa" w:w="3389"/>
            <w:vAlign w:val="center"/>
            <w:shd w:fill="F9FAFB"/>
          </w:tcPr>
          <w:p>
            <w:pPr>
              <w:spacing w:after="0"/>
            </w:pPr>
            <w:r/>
            <w:r>
              <w:rPr>
                <w:rFonts w:ascii="Aptos" w:hAnsi="Aptos"/>
                <w:b w:val="0"/>
                <w:color w:val="111827"/>
                <w:sz w:val="16"/>
              </w:rPr>
              <w:t>Execution briefs, owners, dependencies, team/vendor alignment, dashboard baseline and launch governance.</w:t>
            </w:r>
          </w:p>
        </w:tc>
      </w:tr>
      <w:tr>
        <w:tc>
          <w:tcPr>
            <w:tcW w:type="dxa" w:w="3389"/>
            <w:vAlign w:val="center"/>
          </w:tcPr>
          <w:p>
            <w:pPr>
              <w:spacing w:after="0"/>
            </w:pPr>
            <w:r/>
            <w:r>
              <w:rPr>
                <w:rFonts w:ascii="Aptos" w:hAnsi="Aptos"/>
                <w:b w:val="0"/>
                <w:color w:val="111827"/>
                <w:sz w:val="16"/>
              </w:rPr>
              <w:t>Governance Retainer</w:t>
            </w:r>
          </w:p>
        </w:tc>
        <w:tc>
          <w:tcPr>
            <w:tcW w:type="dxa" w:w="3389"/>
            <w:vAlign w:val="center"/>
          </w:tcPr>
          <w:p>
            <w:pPr>
              <w:spacing w:after="0"/>
            </w:pPr>
            <w:r/>
            <w:r>
              <w:rPr>
                <w:rFonts w:ascii="Aptos" w:hAnsi="Aptos"/>
                <w:b w:val="0"/>
                <w:color w:val="111827"/>
                <w:sz w:val="16"/>
              </w:rPr>
              <w:t>Protect integration and drive correction.</w:t>
            </w:r>
          </w:p>
        </w:tc>
        <w:tc>
          <w:tcPr>
            <w:tcW w:type="dxa" w:w="3389"/>
            <w:vAlign w:val="center"/>
          </w:tcPr>
          <w:p>
            <w:pPr>
              <w:spacing w:after="0"/>
            </w:pPr>
            <w:r/>
            <w:r>
              <w:rPr>
                <w:rFonts w:ascii="Aptos" w:hAnsi="Aptos"/>
                <w:b w:val="0"/>
                <w:color w:val="111827"/>
                <w:sz w:val="16"/>
              </w:rPr>
              <w:t>Monthly reviews, KPI analysis, vendor/team governance, issue escalation, quarterly architecture review and prioritisation.</w:t>
            </w:r>
          </w:p>
        </w:tc>
      </w:tr>
      <w:tr>
        <w:tc>
          <w:tcPr>
            <w:tcW w:type="dxa" w:w="3389"/>
            <w:vAlign w:val="center"/>
            <w:shd w:fill="F9FAFB"/>
          </w:tcPr>
          <w:p>
            <w:pPr>
              <w:spacing w:after="0"/>
            </w:pPr>
            <w:r/>
            <w:r>
              <w:rPr>
                <w:rFonts w:ascii="Aptos" w:hAnsi="Aptos"/>
                <w:b w:val="0"/>
                <w:color w:val="111827"/>
                <w:sz w:val="16"/>
              </w:rPr>
              <w:t>Specialist Modules</w:t>
            </w:r>
          </w:p>
        </w:tc>
        <w:tc>
          <w:tcPr>
            <w:tcW w:type="dxa" w:w="3389"/>
            <w:vAlign w:val="center"/>
            <w:shd w:fill="F9FAFB"/>
          </w:tcPr>
          <w:p>
            <w:pPr>
              <w:spacing w:after="0"/>
            </w:pPr>
            <w:r/>
            <w:r>
              <w:rPr>
                <w:rFonts w:ascii="Aptos" w:hAnsi="Aptos"/>
                <w:b w:val="0"/>
                <w:color w:val="111827"/>
                <w:sz w:val="16"/>
              </w:rPr>
              <w:t>Add specialist execution where strategically required.</w:t>
            </w:r>
          </w:p>
        </w:tc>
        <w:tc>
          <w:tcPr>
            <w:tcW w:type="dxa" w:w="3389"/>
            <w:vAlign w:val="center"/>
            <w:shd w:fill="F9FAFB"/>
          </w:tcPr>
          <w:p>
            <w:pPr>
              <w:spacing w:after="0"/>
            </w:pPr>
            <w:r/>
            <w:r>
              <w:rPr>
                <w:rFonts w:ascii="Aptos" w:hAnsi="Aptos"/>
                <w:b w:val="0"/>
                <w:color w:val="111827"/>
                <w:sz w:val="16"/>
              </w:rPr>
              <w:t>PR, performance, content, design, web/UX, CRM, research, sales enablement or other approved specialist work.</w:t>
            </w:r>
          </w:p>
        </w:tc>
      </w:tr>
    </w:tbl>
    <w:p>
      <w:pPr>
        <w:spacing w:after="0"/>
      </w:pPr>
    </w:p>
    <w:p>
      <w:pPr>
        <w:pStyle w:val="Heading2"/>
      </w:pPr>
      <w:r>
        <w:t>Commercial Fields to Finalise</w:t>
      </w:r>
    </w:p>
    <w:p>
      <w:pPr>
        <w:pStyle w:val="ListBullet"/>
        <w:spacing w:after="30"/>
      </w:pPr>
      <w:r>
        <w:t>Project price and currency.</w:t>
      </w:r>
    </w:p>
    <w:p>
      <w:pPr>
        <w:pStyle w:val="ListBullet"/>
        <w:spacing w:after="30"/>
      </w:pPr>
      <w:r>
        <w:t>Governance retainer and minimum term.</w:t>
      </w:r>
    </w:p>
    <w:p>
      <w:pPr>
        <w:pStyle w:val="ListBullet"/>
        <w:spacing w:after="30"/>
      </w:pPr>
      <w:r>
        <w:t>Tax treatment.</w:t>
      </w:r>
    </w:p>
    <w:p>
      <w:pPr>
        <w:pStyle w:val="ListBullet"/>
        <w:spacing w:after="30"/>
      </w:pPr>
      <w:r>
        <w:t>Setup/onboarding fee if required.</w:t>
      </w:r>
    </w:p>
    <w:p>
      <w:pPr>
        <w:pStyle w:val="ListBullet"/>
        <w:spacing w:after="30"/>
      </w:pPr>
      <w:r>
        <w:t>Discount authority and maximum discount.</w:t>
      </w:r>
    </w:p>
    <w:p>
      <w:pPr>
        <w:pStyle w:val="ListBullet"/>
        <w:spacing w:after="30"/>
      </w:pPr>
      <w:r>
        <w:t>Payment milestones.</w:t>
      </w:r>
    </w:p>
    <w:p>
      <w:pPr>
        <w:pStyle w:val="ListBullet"/>
        <w:spacing w:after="30"/>
      </w:pPr>
      <w:r>
        <w:t>Cancellation notice and renewal policy.</w:t>
      </w:r>
    </w:p>
    <w:p>
      <w:pPr>
        <w:pStyle w:val="ListBullet"/>
        <w:spacing w:after="30"/>
      </w:pPr>
      <w:r>
        <w:t>Travel/research/third-party cost treatment.</w:t>
      </w:r>
    </w:p>
    <w:p>
      <w:pPr>
        <w:pStyle w:val="ListBullet"/>
        <w:spacing w:after="30"/>
      </w:pPr>
      <w:r>
        <w:t>Change-request and specialist-module pricing.</w:t>
      </w:r>
    </w:p>
    <w:p>
      <w:pPr>
        <w:pStyle w:val="Heading1"/>
      </w:pPr>
      <w:r>
        <w:t>21. Example 90-Day Architecture &amp; Activation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11827"/>
            <w:vAlign w:val="center"/>
          </w:tcPr>
          <w:p>
            <w:pPr>
              <w:spacing w:after="0"/>
            </w:pPr>
            <w:r/>
            <w:r>
              <w:rPr>
                <w:rFonts w:ascii="Aptos" w:hAnsi="Aptos"/>
                <w:b/>
                <w:color w:val="FFFFFF"/>
                <w:sz w:val="16"/>
              </w:rPr>
              <w:t>Period</w:t>
            </w:r>
          </w:p>
        </w:tc>
        <w:tc>
          <w:tcPr>
            <w:tcW w:type="dxa" w:w="3389"/>
            <w:shd w:fill="111827"/>
            <w:vAlign w:val="center"/>
          </w:tcPr>
          <w:p>
            <w:pPr>
              <w:spacing w:after="0"/>
            </w:pPr>
            <w:r/>
            <w:r>
              <w:rPr>
                <w:rFonts w:ascii="Aptos" w:hAnsi="Aptos"/>
                <w:b/>
                <w:color w:val="FFFFFF"/>
                <w:sz w:val="16"/>
              </w:rPr>
              <w:t>Strategic focus</w:t>
            </w:r>
          </w:p>
        </w:tc>
        <w:tc>
          <w:tcPr>
            <w:tcW w:type="dxa" w:w="3389"/>
            <w:shd w:fill="111827"/>
            <w:vAlign w:val="center"/>
          </w:tcPr>
          <w:p>
            <w:pPr>
              <w:spacing w:after="0"/>
            </w:pPr>
            <w:r/>
            <w:r>
              <w:rPr>
                <w:rFonts w:ascii="Aptos" w:hAnsi="Aptos"/>
                <w:b/>
                <w:color w:val="FFFFFF"/>
                <w:sz w:val="16"/>
              </w:rPr>
              <w:t>Illustrative outputs</w:t>
            </w:r>
          </w:p>
        </w:tc>
      </w:tr>
      <w:tr>
        <w:tc>
          <w:tcPr>
            <w:tcW w:type="dxa" w:w="3389"/>
            <w:vAlign w:val="center"/>
          </w:tcPr>
          <w:p>
            <w:pPr>
              <w:spacing w:after="0"/>
            </w:pPr>
            <w:r/>
            <w:r>
              <w:rPr>
                <w:rFonts w:ascii="Aptos" w:hAnsi="Aptos"/>
                <w:b w:val="0"/>
                <w:color w:val="111827"/>
                <w:sz w:val="16"/>
              </w:rPr>
              <w:t>Days 1–30: Diagnose</w:t>
            </w:r>
          </w:p>
        </w:tc>
        <w:tc>
          <w:tcPr>
            <w:tcW w:type="dxa" w:w="3389"/>
            <w:vAlign w:val="center"/>
          </w:tcPr>
          <w:p>
            <w:pPr>
              <w:spacing w:after="0"/>
            </w:pPr>
            <w:r/>
            <w:r>
              <w:rPr>
                <w:rFonts w:ascii="Aptos" w:hAnsi="Aptos"/>
                <w:b w:val="0"/>
                <w:color w:val="111827"/>
                <w:sz w:val="16"/>
              </w:rPr>
              <w:t>Establish Current Level and define Next Level.</w:t>
            </w:r>
          </w:p>
        </w:tc>
        <w:tc>
          <w:tcPr>
            <w:tcW w:type="dxa" w:w="3389"/>
            <w:vAlign w:val="center"/>
          </w:tcPr>
          <w:p>
            <w:pPr>
              <w:spacing w:after="0"/>
            </w:pPr>
            <w:r/>
            <w:r>
              <w:rPr>
                <w:rFonts w:ascii="Aptos" w:hAnsi="Aptos"/>
                <w:b w:val="0"/>
                <w:color w:val="111827"/>
                <w:sz w:val="16"/>
              </w:rPr>
              <w:t>Leadership discovery, LQ™ audit, data review, ICP/market diagnosis, positioning and funnel gaps, baseline KPIs.</w:t>
            </w:r>
          </w:p>
        </w:tc>
      </w:tr>
      <w:tr>
        <w:tc>
          <w:tcPr>
            <w:tcW w:type="dxa" w:w="3389"/>
            <w:vAlign w:val="center"/>
            <w:shd w:fill="F9FAFB"/>
          </w:tcPr>
          <w:p>
            <w:pPr>
              <w:spacing w:after="0"/>
            </w:pPr>
            <w:r/>
            <w:r>
              <w:rPr>
                <w:rFonts w:ascii="Aptos" w:hAnsi="Aptos"/>
                <w:b w:val="0"/>
                <w:color w:val="111827"/>
                <w:sz w:val="16"/>
              </w:rPr>
              <w:t>Days 31–60: Architect</w:t>
            </w:r>
          </w:p>
        </w:tc>
        <w:tc>
          <w:tcPr>
            <w:tcW w:type="dxa" w:w="3389"/>
            <w:vAlign w:val="center"/>
            <w:shd w:fill="F9FAFB"/>
          </w:tcPr>
          <w:p>
            <w:pPr>
              <w:spacing w:after="0"/>
            </w:pPr>
            <w:r/>
            <w:r>
              <w:rPr>
                <w:rFonts w:ascii="Aptos" w:hAnsi="Aptos"/>
                <w:b w:val="0"/>
                <w:color w:val="111827"/>
                <w:sz w:val="16"/>
              </w:rPr>
              <w:t>Design the integrated growth system.</w:t>
            </w:r>
          </w:p>
        </w:tc>
        <w:tc>
          <w:tcPr>
            <w:tcW w:type="dxa" w:w="3389"/>
            <w:vAlign w:val="center"/>
            <w:shd w:fill="F9FAFB"/>
          </w:tcPr>
          <w:p>
            <w:pPr>
              <w:spacing w:after="0"/>
            </w:pPr>
            <w:r/>
            <w:r>
              <w:rPr>
                <w:rFonts w:ascii="Aptos" w:hAnsi="Aptos"/>
                <w:b w:val="0"/>
                <w:color w:val="111827"/>
                <w:sz w:val="16"/>
              </w:rPr>
              <w:t>PEAK™ architecture, B.R.A.N.D.S. blueprint, customer journey, conversion, demand, nurture, trust, KPI and governance architecture.</w:t>
            </w:r>
          </w:p>
        </w:tc>
      </w:tr>
      <w:tr>
        <w:tc>
          <w:tcPr>
            <w:tcW w:type="dxa" w:w="3389"/>
            <w:vAlign w:val="center"/>
          </w:tcPr>
          <w:p>
            <w:pPr>
              <w:spacing w:after="0"/>
            </w:pPr>
            <w:r/>
            <w:r>
              <w:rPr>
                <w:rFonts w:ascii="Aptos" w:hAnsi="Aptos"/>
                <w:b w:val="0"/>
                <w:color w:val="111827"/>
                <w:sz w:val="16"/>
              </w:rPr>
              <w:t>Days 61–90: Activate &amp; Govern</w:t>
            </w:r>
          </w:p>
        </w:tc>
        <w:tc>
          <w:tcPr>
            <w:tcW w:type="dxa" w:w="3389"/>
            <w:vAlign w:val="center"/>
          </w:tcPr>
          <w:p>
            <w:pPr>
              <w:spacing w:after="0"/>
            </w:pPr>
            <w:r/>
            <w:r>
              <w:rPr>
                <w:rFonts w:ascii="Aptos" w:hAnsi="Aptos"/>
                <w:b w:val="0"/>
                <w:color w:val="111827"/>
                <w:sz w:val="16"/>
              </w:rPr>
              <w:t>Move highest-priority architecture into operation.</w:t>
            </w:r>
          </w:p>
        </w:tc>
        <w:tc>
          <w:tcPr>
            <w:tcW w:type="dxa" w:w="3389"/>
            <w:vAlign w:val="center"/>
          </w:tcPr>
          <w:p>
            <w:pPr>
              <w:spacing w:after="0"/>
            </w:pPr>
            <w:r/>
            <w:r>
              <w:rPr>
                <w:rFonts w:ascii="Aptos" w:hAnsi="Aptos"/>
                <w:b w:val="0"/>
                <w:color w:val="111827"/>
                <w:sz w:val="16"/>
              </w:rPr>
              <w:t>Execution briefs, owners, vendor/team alignment, quick-win fixes, dashboard, governance rhythm, first corrective-action cycle.</w:t>
            </w:r>
          </w:p>
        </w:tc>
      </w:tr>
    </w:tbl>
    <w:p>
      <w:pPr>
        <w:spacing w:after="0"/>
      </w:pPr>
    </w:p>
    <w:p>
      <w:r>
        <w:t>The roadmap is indicative. Complex organisations, multiple markets, poor data readiness or extensive stakeholder alignment may require a longer diagnostic and architecture phase.</w:t>
      </w:r>
    </w:p>
    <w:p>
      <w:pPr>
        <w:pStyle w:val="Heading1"/>
      </w:pPr>
      <w:r>
        <w:t>22. 12-Month Growth Governance Cycle</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Quarter</w:t>
            </w:r>
          </w:p>
        </w:tc>
        <w:tc>
          <w:tcPr>
            <w:tcW w:type="dxa" w:w="5083"/>
            <w:shd w:fill="111827"/>
            <w:vAlign w:val="center"/>
          </w:tcPr>
          <w:p>
            <w:pPr>
              <w:spacing w:after="0"/>
            </w:pPr>
            <w:r/>
            <w:r>
              <w:rPr>
                <w:rFonts w:ascii="Aptos" w:hAnsi="Aptos"/>
                <w:b/>
                <w:color w:val="FFFFFF"/>
                <w:sz w:val="16"/>
              </w:rPr>
              <w:t>Primary objective</w:t>
            </w:r>
          </w:p>
        </w:tc>
      </w:tr>
      <w:tr>
        <w:tc>
          <w:tcPr>
            <w:tcW w:type="dxa" w:w="5083"/>
            <w:vAlign w:val="center"/>
          </w:tcPr>
          <w:p>
            <w:pPr>
              <w:spacing w:after="0"/>
            </w:pPr>
            <w:r/>
            <w:r>
              <w:rPr>
                <w:rFonts w:ascii="Aptos" w:hAnsi="Aptos"/>
                <w:b w:val="0"/>
                <w:color w:val="111827"/>
                <w:sz w:val="16"/>
              </w:rPr>
              <w:t>Q1 — Diagnose &amp; Architect</w:t>
            </w:r>
          </w:p>
        </w:tc>
        <w:tc>
          <w:tcPr>
            <w:tcW w:type="dxa" w:w="5083"/>
            <w:vAlign w:val="center"/>
          </w:tcPr>
          <w:p>
            <w:pPr>
              <w:spacing w:after="0"/>
            </w:pPr>
            <w:r/>
            <w:r>
              <w:rPr>
                <w:rFonts w:ascii="Aptos" w:hAnsi="Aptos"/>
                <w:b w:val="0"/>
                <w:color w:val="111827"/>
                <w:sz w:val="16"/>
              </w:rPr>
              <w:t>Create the fact base, fix strategic ambiguity and launch priority interventions.</w:t>
            </w:r>
          </w:p>
        </w:tc>
      </w:tr>
      <w:tr>
        <w:tc>
          <w:tcPr>
            <w:tcW w:type="dxa" w:w="5083"/>
            <w:vAlign w:val="center"/>
            <w:shd w:fill="F9FAFB"/>
          </w:tcPr>
          <w:p>
            <w:pPr>
              <w:spacing w:after="0"/>
            </w:pPr>
            <w:r/>
            <w:r>
              <w:rPr>
                <w:rFonts w:ascii="Aptos" w:hAnsi="Aptos"/>
                <w:b w:val="0"/>
                <w:color w:val="111827"/>
                <w:sz w:val="16"/>
              </w:rPr>
              <w:t>Q2 — Stabilise &amp; Convert</w:t>
            </w:r>
          </w:p>
        </w:tc>
        <w:tc>
          <w:tcPr>
            <w:tcW w:type="dxa" w:w="5083"/>
            <w:vAlign w:val="center"/>
            <w:shd w:fill="F9FAFB"/>
          </w:tcPr>
          <w:p>
            <w:pPr>
              <w:spacing w:after="0"/>
            </w:pPr>
            <w:r/>
            <w:r>
              <w:rPr>
                <w:rFonts w:ascii="Aptos" w:hAnsi="Aptos"/>
                <w:b w:val="0"/>
                <w:color w:val="111827"/>
                <w:sz w:val="16"/>
              </w:rPr>
              <w:t>Improve journeys, trust, nurture, sales handoff and execution discipline.</w:t>
            </w:r>
          </w:p>
        </w:tc>
      </w:tr>
      <w:tr>
        <w:tc>
          <w:tcPr>
            <w:tcW w:type="dxa" w:w="5083"/>
            <w:vAlign w:val="center"/>
          </w:tcPr>
          <w:p>
            <w:pPr>
              <w:spacing w:after="0"/>
            </w:pPr>
            <w:r/>
            <w:r>
              <w:rPr>
                <w:rFonts w:ascii="Aptos" w:hAnsi="Aptos"/>
                <w:b w:val="0"/>
                <w:color w:val="111827"/>
                <w:sz w:val="16"/>
              </w:rPr>
              <w:t>Q3 — Optimise &amp; Expand</w:t>
            </w:r>
          </w:p>
        </w:tc>
        <w:tc>
          <w:tcPr>
            <w:tcW w:type="dxa" w:w="5083"/>
            <w:vAlign w:val="center"/>
          </w:tcPr>
          <w:p>
            <w:pPr>
              <w:spacing w:after="0"/>
            </w:pPr>
            <w:r/>
            <w:r>
              <w:rPr>
                <w:rFonts w:ascii="Aptos" w:hAnsi="Aptos"/>
                <w:b w:val="0"/>
                <w:color w:val="111827"/>
                <w:sz w:val="16"/>
              </w:rPr>
              <w:t>Scale proven channels, test new demand sources and strengthen authority/discoverability.</w:t>
            </w:r>
          </w:p>
        </w:tc>
      </w:tr>
      <w:tr>
        <w:tc>
          <w:tcPr>
            <w:tcW w:type="dxa" w:w="5083"/>
            <w:vAlign w:val="center"/>
            <w:shd w:fill="F9FAFB"/>
          </w:tcPr>
          <w:p>
            <w:pPr>
              <w:spacing w:after="0"/>
            </w:pPr>
            <w:r/>
            <w:r>
              <w:rPr>
                <w:rFonts w:ascii="Aptos" w:hAnsi="Aptos"/>
                <w:b w:val="0"/>
                <w:color w:val="111827"/>
                <w:sz w:val="16"/>
              </w:rPr>
              <w:t>Q4 — Institutionalise &amp; Evolve</w:t>
            </w:r>
          </w:p>
        </w:tc>
        <w:tc>
          <w:tcPr>
            <w:tcW w:type="dxa" w:w="5083"/>
            <w:vAlign w:val="center"/>
            <w:shd w:fill="F9FAFB"/>
          </w:tcPr>
          <w:p>
            <w:pPr>
              <w:spacing w:after="0"/>
            </w:pPr>
            <w:r/>
            <w:r>
              <w:rPr>
                <w:rFonts w:ascii="Aptos" w:hAnsi="Aptos"/>
                <w:b w:val="0"/>
                <w:color w:val="111827"/>
                <w:sz w:val="16"/>
              </w:rPr>
              <w:t>Embed repeatable governance, evaluate business impact and define the next growth level.</w:t>
            </w:r>
          </w:p>
        </w:tc>
      </w:tr>
    </w:tbl>
    <w:p>
      <w:pPr>
        <w:spacing w:after="0"/>
      </w:pPr>
    </w:p>
    <w:p>
      <w:pPr>
        <w:pStyle w:val="Heading1"/>
      </w:pPr>
      <w:r>
        <w:t>23. Risks &amp; Safeguards</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Risk</w:t>
            </w:r>
          </w:p>
        </w:tc>
        <w:tc>
          <w:tcPr>
            <w:tcW w:type="dxa" w:w="5083"/>
            <w:shd w:fill="111827"/>
            <w:vAlign w:val="center"/>
          </w:tcPr>
          <w:p>
            <w:pPr>
              <w:spacing w:after="0"/>
            </w:pPr>
            <w:r/>
            <w:r>
              <w:rPr>
                <w:rFonts w:ascii="Aptos" w:hAnsi="Aptos"/>
                <w:b/>
                <w:color w:val="FFFFFF"/>
                <w:sz w:val="16"/>
              </w:rPr>
              <w:t>Safeguard</w:t>
            </w:r>
          </w:p>
        </w:tc>
      </w:tr>
      <w:tr>
        <w:tc>
          <w:tcPr>
            <w:tcW w:type="dxa" w:w="5083"/>
            <w:vAlign w:val="center"/>
          </w:tcPr>
          <w:p>
            <w:pPr>
              <w:spacing w:after="0"/>
            </w:pPr>
            <w:r/>
            <w:r>
              <w:rPr>
                <w:rFonts w:ascii="Aptos" w:hAnsi="Aptos"/>
                <w:b w:val="0"/>
                <w:color w:val="111827"/>
                <w:sz w:val="16"/>
              </w:rPr>
              <w:t>Architecture becomes a report</w:t>
            </w:r>
          </w:p>
        </w:tc>
        <w:tc>
          <w:tcPr>
            <w:tcW w:type="dxa" w:w="5083"/>
            <w:vAlign w:val="center"/>
          </w:tcPr>
          <w:p>
            <w:pPr>
              <w:spacing w:after="0"/>
            </w:pPr>
            <w:r/>
            <w:r>
              <w:rPr>
                <w:rFonts w:ascii="Aptos" w:hAnsi="Aptos"/>
                <w:b w:val="0"/>
                <w:color w:val="111827"/>
                <w:sz w:val="16"/>
              </w:rPr>
              <w:t>Every recommendation must have owner, sequence, KPI, dependency and governance cadence.</w:t>
            </w:r>
          </w:p>
        </w:tc>
      </w:tr>
      <w:tr>
        <w:tc>
          <w:tcPr>
            <w:tcW w:type="dxa" w:w="5083"/>
            <w:vAlign w:val="center"/>
            <w:shd w:fill="F9FAFB"/>
          </w:tcPr>
          <w:p>
            <w:pPr>
              <w:spacing w:after="0"/>
            </w:pPr>
            <w:r/>
            <w:r>
              <w:rPr>
                <w:rFonts w:ascii="Aptos" w:hAnsi="Aptos"/>
                <w:b w:val="0"/>
                <w:color w:val="111827"/>
                <w:sz w:val="16"/>
              </w:rPr>
              <w:t>Too many priorities</w:t>
            </w:r>
          </w:p>
        </w:tc>
        <w:tc>
          <w:tcPr>
            <w:tcW w:type="dxa" w:w="5083"/>
            <w:vAlign w:val="center"/>
            <w:shd w:fill="F9FAFB"/>
          </w:tcPr>
          <w:p>
            <w:pPr>
              <w:spacing w:after="0"/>
            </w:pPr>
            <w:r/>
            <w:r>
              <w:rPr>
                <w:rFonts w:ascii="Aptos" w:hAnsi="Aptos"/>
                <w:b w:val="0"/>
                <w:color w:val="111827"/>
                <w:sz w:val="16"/>
              </w:rPr>
              <w:t>Use impact/urgency/dependency scoring and cap active strategic priorities.</w:t>
            </w:r>
          </w:p>
        </w:tc>
      </w:tr>
      <w:tr>
        <w:tc>
          <w:tcPr>
            <w:tcW w:type="dxa" w:w="5083"/>
            <w:vAlign w:val="center"/>
          </w:tcPr>
          <w:p>
            <w:pPr>
              <w:spacing w:after="0"/>
            </w:pPr>
            <w:r/>
            <w:r>
              <w:rPr>
                <w:rFonts w:ascii="Aptos" w:hAnsi="Aptos"/>
                <w:b w:val="0"/>
                <w:color w:val="111827"/>
                <w:sz w:val="16"/>
              </w:rPr>
              <w:t>Marketing blamed for product/sales issues</w:t>
            </w:r>
          </w:p>
        </w:tc>
        <w:tc>
          <w:tcPr>
            <w:tcW w:type="dxa" w:w="5083"/>
            <w:vAlign w:val="center"/>
          </w:tcPr>
          <w:p>
            <w:pPr>
              <w:spacing w:after="0"/>
            </w:pPr>
            <w:r/>
            <w:r>
              <w:rPr>
                <w:rFonts w:ascii="Aptos" w:hAnsi="Aptos"/>
                <w:b w:val="0"/>
                <w:color w:val="111827"/>
                <w:sz w:val="16"/>
              </w:rPr>
              <w:t>Document cross-functional constraints and assign owners outside marketing where appropriate.</w:t>
            </w:r>
          </w:p>
        </w:tc>
      </w:tr>
      <w:tr>
        <w:tc>
          <w:tcPr>
            <w:tcW w:type="dxa" w:w="5083"/>
            <w:vAlign w:val="center"/>
            <w:shd w:fill="F9FAFB"/>
          </w:tcPr>
          <w:p>
            <w:pPr>
              <w:spacing w:after="0"/>
            </w:pPr>
            <w:r/>
            <w:r>
              <w:rPr>
                <w:rFonts w:ascii="Aptos" w:hAnsi="Aptos"/>
                <w:b w:val="0"/>
                <w:color w:val="111827"/>
                <w:sz w:val="16"/>
              </w:rPr>
              <w:t>Premature scaling</w:t>
            </w:r>
          </w:p>
        </w:tc>
        <w:tc>
          <w:tcPr>
            <w:tcW w:type="dxa" w:w="5083"/>
            <w:vAlign w:val="center"/>
            <w:shd w:fill="F9FAFB"/>
          </w:tcPr>
          <w:p>
            <w:pPr>
              <w:spacing w:after="0"/>
            </w:pPr>
            <w:r/>
            <w:r>
              <w:rPr>
                <w:rFonts w:ascii="Aptos" w:hAnsi="Aptos"/>
                <w:b w:val="0"/>
                <w:color w:val="111827"/>
                <w:sz w:val="16"/>
              </w:rPr>
              <w:t>Use readiness gates before increasing spend or channel volume.</w:t>
            </w:r>
          </w:p>
        </w:tc>
      </w:tr>
      <w:tr>
        <w:tc>
          <w:tcPr>
            <w:tcW w:type="dxa" w:w="5083"/>
            <w:vAlign w:val="center"/>
          </w:tcPr>
          <w:p>
            <w:pPr>
              <w:spacing w:after="0"/>
            </w:pPr>
            <w:r/>
            <w:r>
              <w:rPr>
                <w:rFonts w:ascii="Aptos" w:hAnsi="Aptos"/>
                <w:b w:val="0"/>
                <w:color w:val="111827"/>
                <w:sz w:val="16"/>
              </w:rPr>
              <w:t>Attribution overclaim</w:t>
            </w:r>
          </w:p>
        </w:tc>
        <w:tc>
          <w:tcPr>
            <w:tcW w:type="dxa" w:w="5083"/>
            <w:vAlign w:val="center"/>
          </w:tcPr>
          <w:p>
            <w:pPr>
              <w:spacing w:after="0"/>
            </w:pPr>
            <w:r/>
            <w:r>
              <w:rPr>
                <w:rFonts w:ascii="Aptos" w:hAnsi="Aptos"/>
                <w:b w:val="0"/>
                <w:color w:val="111827"/>
                <w:sz w:val="16"/>
              </w:rPr>
              <w:t>Use contribution logic and clearly separate correlation, influence and attributable outcomes.</w:t>
            </w:r>
          </w:p>
        </w:tc>
      </w:tr>
      <w:tr>
        <w:tc>
          <w:tcPr>
            <w:tcW w:type="dxa" w:w="5083"/>
            <w:vAlign w:val="center"/>
            <w:shd w:fill="F9FAFB"/>
          </w:tcPr>
          <w:p>
            <w:pPr>
              <w:spacing w:after="0"/>
            </w:pPr>
            <w:r/>
            <w:r>
              <w:rPr>
                <w:rFonts w:ascii="Aptos" w:hAnsi="Aptos"/>
                <w:b w:val="0"/>
                <w:color w:val="111827"/>
                <w:sz w:val="16"/>
              </w:rPr>
              <w:t>Vendor resistance</w:t>
            </w:r>
          </w:p>
        </w:tc>
        <w:tc>
          <w:tcPr>
            <w:tcW w:type="dxa" w:w="5083"/>
            <w:vAlign w:val="center"/>
            <w:shd w:fill="F9FAFB"/>
          </w:tcPr>
          <w:p>
            <w:pPr>
              <w:spacing w:after="0"/>
            </w:pPr>
            <w:r/>
            <w:r>
              <w:rPr>
                <w:rFonts w:ascii="Aptos" w:hAnsi="Aptos"/>
                <w:b w:val="0"/>
                <w:color w:val="111827"/>
                <w:sz w:val="16"/>
              </w:rPr>
              <w:t>Create common briefs, KPIs, decision rights and transparent review rules.</w:t>
            </w:r>
          </w:p>
        </w:tc>
      </w:tr>
      <w:tr>
        <w:tc>
          <w:tcPr>
            <w:tcW w:type="dxa" w:w="5083"/>
            <w:vAlign w:val="center"/>
          </w:tcPr>
          <w:p>
            <w:pPr>
              <w:spacing w:after="0"/>
            </w:pPr>
            <w:r/>
            <w:r>
              <w:rPr>
                <w:rFonts w:ascii="Aptos" w:hAnsi="Aptos"/>
                <w:b w:val="0"/>
                <w:color w:val="111827"/>
                <w:sz w:val="16"/>
              </w:rPr>
              <w:t>Leadership delay</w:t>
            </w:r>
          </w:p>
        </w:tc>
        <w:tc>
          <w:tcPr>
            <w:tcW w:type="dxa" w:w="5083"/>
            <w:vAlign w:val="center"/>
          </w:tcPr>
          <w:p>
            <w:pPr>
              <w:spacing w:after="0"/>
            </w:pPr>
            <w:r/>
            <w:r>
              <w:rPr>
                <w:rFonts w:ascii="Aptos" w:hAnsi="Aptos"/>
                <w:b w:val="0"/>
                <w:color w:val="111827"/>
                <w:sz w:val="16"/>
              </w:rPr>
              <w:t>Track decisions and approvals as explicit governance dependencies.</w:t>
            </w:r>
          </w:p>
        </w:tc>
      </w:tr>
      <w:tr>
        <w:tc>
          <w:tcPr>
            <w:tcW w:type="dxa" w:w="5083"/>
            <w:vAlign w:val="center"/>
            <w:shd w:fill="F9FAFB"/>
          </w:tcPr>
          <w:p>
            <w:pPr>
              <w:spacing w:after="0"/>
            </w:pPr>
            <w:r/>
            <w:r>
              <w:rPr>
                <w:rFonts w:ascii="Aptos" w:hAnsi="Aptos"/>
                <w:b w:val="0"/>
                <w:color w:val="111827"/>
                <w:sz w:val="16"/>
              </w:rPr>
              <w:t>Framework rigidity</w:t>
            </w:r>
          </w:p>
        </w:tc>
        <w:tc>
          <w:tcPr>
            <w:tcW w:type="dxa" w:w="5083"/>
            <w:vAlign w:val="center"/>
            <w:shd w:fill="F9FAFB"/>
          </w:tcPr>
          <w:p>
            <w:pPr>
              <w:spacing w:after="0"/>
            </w:pPr>
            <w:r/>
            <w:r>
              <w:rPr>
                <w:rFonts w:ascii="Aptos" w:hAnsi="Aptos"/>
                <w:b w:val="0"/>
                <w:color w:val="111827"/>
                <w:sz w:val="16"/>
              </w:rPr>
              <w:t>Use PEAK™ and B.R.A.N.D.S. as architecture, not as a substitute for market-specific judgment.</w:t>
            </w:r>
          </w:p>
        </w:tc>
      </w:tr>
      <w:tr>
        <w:tc>
          <w:tcPr>
            <w:tcW w:type="dxa" w:w="5083"/>
            <w:vAlign w:val="center"/>
          </w:tcPr>
          <w:p>
            <w:pPr>
              <w:spacing w:after="0"/>
            </w:pPr>
            <w:r/>
            <w:r>
              <w:rPr>
                <w:rFonts w:ascii="Aptos" w:hAnsi="Aptos"/>
                <w:b w:val="0"/>
                <w:color w:val="111827"/>
                <w:sz w:val="16"/>
              </w:rPr>
              <w:t>Data gaps</w:t>
            </w:r>
          </w:p>
        </w:tc>
        <w:tc>
          <w:tcPr>
            <w:tcW w:type="dxa" w:w="5083"/>
            <w:vAlign w:val="center"/>
          </w:tcPr>
          <w:p>
            <w:pPr>
              <w:spacing w:after="0"/>
            </w:pPr>
            <w:r/>
            <w:r>
              <w:rPr>
                <w:rFonts w:ascii="Aptos" w:hAnsi="Aptos"/>
                <w:b w:val="0"/>
                <w:color w:val="111827"/>
                <w:sz w:val="16"/>
              </w:rPr>
              <w:t>Establish minimum measurement requirements and state confidence levels in conclusions.</w:t>
            </w:r>
          </w:p>
        </w:tc>
      </w:tr>
    </w:tbl>
    <w:p>
      <w:pPr>
        <w:spacing w:after="0"/>
      </w:pPr>
    </w:p>
    <w:p>
      <w:pPr>
        <w:pStyle w:val="Heading1"/>
      </w:pPr>
      <w:r>
        <w:t>24. Delivery &amp; Training Standards</w:t>
      </w:r>
    </w:p>
    <w:p>
      <w:r>
        <w:t>Every Level141 team member selling or delivering Growth Architecture™ must be able to explain:</w:t>
      </w:r>
    </w:p>
    <w:p>
      <w:pPr>
        <w:pStyle w:val="ListNumber"/>
        <w:spacing w:after="30"/>
      </w:pPr>
      <w:r>
        <w:t>Why Level141 starts with Current Level and Next Level rather than channels.</w:t>
      </w:r>
    </w:p>
    <w:p>
      <w:pPr>
        <w:pStyle w:val="ListNumber"/>
        <w:spacing w:after="30"/>
      </w:pPr>
      <w:r>
        <w:t>How LQ™ diagnoses the growth system.</w:t>
      </w:r>
    </w:p>
    <w:p>
      <w:pPr>
        <w:pStyle w:val="ListNumber"/>
        <w:spacing w:after="30"/>
      </w:pPr>
      <w:r>
        <w:t>Why PEAK™ is the organisational framework and V.I.B.E.™ is for people.</w:t>
      </w:r>
    </w:p>
    <w:p>
      <w:pPr>
        <w:pStyle w:val="ListNumber"/>
        <w:spacing w:after="30"/>
      </w:pPr>
      <w:r>
        <w:t>How B.R.A.N.D.S.™ operates beneath PEAK™.</w:t>
      </w:r>
    </w:p>
    <w:p>
      <w:pPr>
        <w:pStyle w:val="ListNumber"/>
        <w:spacing w:after="30"/>
      </w:pPr>
      <w:r>
        <w:t>Why customer and market understanding is cross-cutting.</w:t>
      </w:r>
    </w:p>
    <w:p>
      <w:pPr>
        <w:pStyle w:val="ListNumber"/>
        <w:spacing w:after="30"/>
      </w:pPr>
      <w:r>
        <w:t>Why lead generation is a system outcome rather than an isolated product feature.</w:t>
      </w:r>
    </w:p>
    <w:p>
      <w:pPr>
        <w:pStyle w:val="ListNumber"/>
        <w:spacing w:after="30"/>
      </w:pPr>
      <w:r>
        <w:t>How trust, nurture and conversion affect the economics of demand.</w:t>
      </w:r>
    </w:p>
    <w:p>
      <w:pPr>
        <w:pStyle w:val="ListNumber"/>
        <w:spacing w:after="30"/>
      </w:pPr>
      <w:r>
        <w:t>How marketing and sales must share definitions and feedback loops.</w:t>
      </w:r>
    </w:p>
    <w:p>
      <w:pPr>
        <w:pStyle w:val="ListNumber"/>
        <w:spacing w:after="30"/>
      </w:pPr>
      <w:r>
        <w:t>Why Level141 architects and governs rather than defaulting to execution.</w:t>
      </w:r>
    </w:p>
    <w:p>
      <w:pPr>
        <w:pStyle w:val="ListNumber"/>
        <w:spacing w:after="30"/>
      </w:pPr>
      <w:r>
        <w:t>How KPIs connect activity to pipeline and business outcomes.</w:t>
      </w:r>
    </w:p>
    <w:p>
      <w:pPr>
        <w:pStyle w:val="ListNumber"/>
        <w:spacing w:after="30"/>
      </w:pPr>
      <w:r>
        <w:t>When a client is not ready to scale.</w:t>
      </w:r>
    </w:p>
    <w:p>
      <w:pPr>
        <w:pStyle w:val="ListNumber"/>
        <w:spacing w:after="30"/>
      </w:pPr>
      <w:r>
        <w:t>How to turn the architecture into briefs that internal teams and vendors can execute.</w:t>
      </w:r>
    </w:p>
    <w:p>
      <w:pPr>
        <w:pStyle w:val="Heading2"/>
      </w:pPr>
      <w:r>
        <w:t>Quality-Control Questions</w:t>
      </w:r>
    </w:p>
    <w:p>
      <w:pPr>
        <w:pStyle w:val="ListBullet"/>
        <w:spacing w:after="30"/>
      </w:pPr>
      <w:r>
        <w:t>Is the Next Level explicit and measurable?</w:t>
      </w:r>
    </w:p>
    <w:p>
      <w:pPr>
        <w:pStyle w:val="ListBullet"/>
        <w:spacing w:after="30"/>
      </w:pPr>
      <w:r>
        <w:t>Is the ICP sufficiently specific?</w:t>
      </w:r>
    </w:p>
    <w:p>
      <w:pPr>
        <w:pStyle w:val="ListBullet"/>
        <w:spacing w:after="30"/>
      </w:pPr>
      <w:r>
        <w:t>Is positioning differentiated and supported by market evidence?</w:t>
      </w:r>
    </w:p>
    <w:p>
      <w:pPr>
        <w:pStyle w:val="ListBullet"/>
        <w:spacing w:after="30"/>
      </w:pPr>
      <w:r>
        <w:t>Are the biggest growth constraints prioritised rather than merely listed?</w:t>
      </w:r>
    </w:p>
    <w:p>
      <w:pPr>
        <w:pStyle w:val="ListBullet"/>
        <w:spacing w:after="30"/>
      </w:pPr>
      <w:r>
        <w:t>Does every intervention trace to a business problem?</w:t>
      </w:r>
    </w:p>
    <w:p>
      <w:pPr>
        <w:pStyle w:val="ListBullet"/>
        <w:spacing w:after="30"/>
      </w:pPr>
      <w:r>
        <w:t>Are conversion and nurture addressed before scaling demand?</w:t>
      </w:r>
    </w:p>
    <w:p>
      <w:pPr>
        <w:pStyle w:val="ListBullet"/>
        <w:spacing w:after="30"/>
      </w:pPr>
      <w:r>
        <w:t>Are trust and discoverability treated as growth levers?</w:t>
      </w:r>
    </w:p>
    <w:p>
      <w:pPr>
        <w:pStyle w:val="ListBullet"/>
        <w:spacing w:after="30"/>
      </w:pPr>
      <w:r>
        <w:t>Are sales handoffs and feedback loops defined?</w:t>
      </w:r>
    </w:p>
    <w:p>
      <w:pPr>
        <w:pStyle w:val="ListBullet"/>
        <w:spacing w:after="30"/>
      </w:pPr>
      <w:r>
        <w:t>Does the KPI tree distinguish activity, leading indicators, pipeline and outcomes?</w:t>
      </w:r>
    </w:p>
    <w:p>
      <w:pPr>
        <w:pStyle w:val="ListBullet"/>
        <w:spacing w:after="30"/>
      </w:pPr>
      <w:r>
        <w:t>Are owners, dependencies, review cadence and decision rights clear?</w:t>
      </w:r>
    </w:p>
    <w:p>
      <w:pPr>
        <w:pStyle w:val="Heading1"/>
      </w:pPr>
      <w:r>
        <w:t>25. Internal Product Completion Checklist</w:t>
      </w:r>
    </w:p>
    <w:tbl>
      <w:tblPr>
        <w:tblStyle w:val="TableGrid"/>
        <w:tblW w:type="auto" w:w="0"/>
        <w:jc w:val="center"/>
        <w:tblLook w:firstColumn="1" w:firstRow="1" w:lastColumn="0" w:lastRow="0" w:noHBand="0" w:noVBand="1" w:val="04A0"/>
      </w:tblPr>
      <w:tblGrid>
        <w:gridCol w:w="5083"/>
        <w:gridCol w:w="5083"/>
      </w:tblGrid>
      <w:tr>
        <w:tc>
          <w:tcPr>
            <w:tcW w:type="dxa" w:w="5083"/>
            <w:shd w:fill="111827"/>
            <w:vAlign w:val="center"/>
          </w:tcPr>
          <w:p>
            <w:pPr>
              <w:spacing w:after="0"/>
            </w:pPr>
            <w:r/>
            <w:r>
              <w:rPr>
                <w:rFonts w:ascii="Aptos" w:hAnsi="Aptos"/>
                <w:b/>
                <w:color w:val="FFFFFF"/>
                <w:sz w:val="16"/>
              </w:rPr>
              <w:t>Stage</w:t>
            </w:r>
          </w:p>
        </w:tc>
        <w:tc>
          <w:tcPr>
            <w:tcW w:type="dxa" w:w="5083"/>
            <w:shd w:fill="111827"/>
            <w:vAlign w:val="center"/>
          </w:tcPr>
          <w:p>
            <w:pPr>
              <w:spacing w:after="0"/>
            </w:pPr>
            <w:r/>
            <w:r>
              <w:rPr>
                <w:rFonts w:ascii="Aptos" w:hAnsi="Aptos"/>
                <w:b/>
                <w:color w:val="FFFFFF"/>
                <w:sz w:val="16"/>
              </w:rPr>
              <w:t>Minimum completion criteria</w:t>
            </w:r>
          </w:p>
        </w:tc>
      </w:tr>
      <w:tr>
        <w:tc>
          <w:tcPr>
            <w:tcW w:type="dxa" w:w="5083"/>
            <w:vAlign w:val="center"/>
          </w:tcPr>
          <w:p>
            <w:pPr>
              <w:spacing w:after="0"/>
            </w:pPr>
            <w:r/>
            <w:r>
              <w:rPr>
                <w:rFonts w:ascii="Aptos" w:hAnsi="Aptos"/>
                <w:b w:val="0"/>
                <w:color w:val="111827"/>
                <w:sz w:val="16"/>
              </w:rPr>
              <w:t>Qualification</w:t>
            </w:r>
          </w:p>
        </w:tc>
        <w:tc>
          <w:tcPr>
            <w:tcW w:type="dxa" w:w="5083"/>
            <w:vAlign w:val="center"/>
          </w:tcPr>
          <w:p>
            <w:pPr>
              <w:spacing w:after="0"/>
            </w:pPr>
            <w:r/>
            <w:r>
              <w:rPr>
                <w:rFonts w:ascii="Aptos" w:hAnsi="Aptos"/>
                <w:b w:val="0"/>
                <w:color w:val="111827"/>
                <w:sz w:val="16"/>
              </w:rPr>
              <w:t>ICP fit, leadership ambition, resources, urgency and access confirmed.</w:t>
            </w:r>
          </w:p>
        </w:tc>
      </w:tr>
      <w:tr>
        <w:tc>
          <w:tcPr>
            <w:tcW w:type="dxa" w:w="5083"/>
            <w:vAlign w:val="center"/>
            <w:shd w:fill="F9FAFB"/>
          </w:tcPr>
          <w:p>
            <w:pPr>
              <w:spacing w:after="0"/>
            </w:pPr>
            <w:r/>
            <w:r>
              <w:rPr>
                <w:rFonts w:ascii="Aptos" w:hAnsi="Aptos"/>
                <w:b w:val="0"/>
                <w:color w:val="111827"/>
                <w:sz w:val="16"/>
              </w:rPr>
              <w:t>LQ™ Audit</w:t>
            </w:r>
          </w:p>
        </w:tc>
        <w:tc>
          <w:tcPr>
            <w:tcW w:type="dxa" w:w="5083"/>
            <w:vAlign w:val="center"/>
            <w:shd w:fill="F9FAFB"/>
          </w:tcPr>
          <w:p>
            <w:pPr>
              <w:spacing w:after="0"/>
            </w:pPr>
            <w:r/>
            <w:r>
              <w:rPr>
                <w:rFonts w:ascii="Aptos" w:hAnsi="Aptos"/>
                <w:b w:val="0"/>
                <w:color w:val="111827"/>
                <w:sz w:val="16"/>
              </w:rPr>
              <w:t>Current Level, data confidence, constraints and baseline documented.</w:t>
            </w:r>
          </w:p>
        </w:tc>
      </w:tr>
      <w:tr>
        <w:tc>
          <w:tcPr>
            <w:tcW w:type="dxa" w:w="5083"/>
            <w:vAlign w:val="center"/>
          </w:tcPr>
          <w:p>
            <w:pPr>
              <w:spacing w:after="0"/>
            </w:pPr>
            <w:r/>
            <w:r>
              <w:rPr>
                <w:rFonts w:ascii="Aptos" w:hAnsi="Aptos"/>
                <w:b w:val="0"/>
                <w:color w:val="111827"/>
                <w:sz w:val="16"/>
              </w:rPr>
              <w:t>Next Level</w:t>
            </w:r>
          </w:p>
        </w:tc>
        <w:tc>
          <w:tcPr>
            <w:tcW w:type="dxa" w:w="5083"/>
            <w:vAlign w:val="center"/>
          </w:tcPr>
          <w:p>
            <w:pPr>
              <w:spacing w:after="0"/>
            </w:pPr>
            <w:r/>
            <w:r>
              <w:rPr>
                <w:rFonts w:ascii="Aptos" w:hAnsi="Aptos"/>
                <w:b w:val="0"/>
                <w:color w:val="111827"/>
                <w:sz w:val="16"/>
              </w:rPr>
              <w:t>Target business state and success measures approved.</w:t>
            </w:r>
          </w:p>
        </w:tc>
      </w:tr>
      <w:tr>
        <w:tc>
          <w:tcPr>
            <w:tcW w:type="dxa" w:w="5083"/>
            <w:vAlign w:val="center"/>
            <w:shd w:fill="F9FAFB"/>
          </w:tcPr>
          <w:p>
            <w:pPr>
              <w:spacing w:after="0"/>
            </w:pPr>
            <w:r/>
            <w:r>
              <w:rPr>
                <w:rFonts w:ascii="Aptos" w:hAnsi="Aptos"/>
                <w:b w:val="0"/>
                <w:color w:val="111827"/>
                <w:sz w:val="16"/>
              </w:rPr>
              <w:t>PEAK™ Architecture</w:t>
            </w:r>
          </w:p>
        </w:tc>
        <w:tc>
          <w:tcPr>
            <w:tcW w:type="dxa" w:w="5083"/>
            <w:vAlign w:val="center"/>
            <w:shd w:fill="F9FAFB"/>
          </w:tcPr>
          <w:p>
            <w:pPr>
              <w:spacing w:after="0"/>
            </w:pPr>
            <w:r/>
            <w:r>
              <w:rPr>
                <w:rFonts w:ascii="Aptos" w:hAnsi="Aptos"/>
                <w:b w:val="0"/>
                <w:color w:val="111827"/>
                <w:sz w:val="16"/>
              </w:rPr>
              <w:t>Presence, Equity, Authority and Kinetic Growth objectives defined.</w:t>
            </w:r>
          </w:p>
        </w:tc>
      </w:tr>
      <w:tr>
        <w:tc>
          <w:tcPr>
            <w:tcW w:type="dxa" w:w="5083"/>
            <w:vAlign w:val="center"/>
          </w:tcPr>
          <w:p>
            <w:pPr>
              <w:spacing w:after="0"/>
            </w:pPr>
            <w:r/>
            <w:r>
              <w:rPr>
                <w:rFonts w:ascii="Aptos" w:hAnsi="Aptos"/>
                <w:b w:val="0"/>
                <w:color w:val="111827"/>
                <w:sz w:val="16"/>
              </w:rPr>
              <w:t>B.R.A.N.D.S.™ Blueprint</w:t>
            </w:r>
          </w:p>
        </w:tc>
        <w:tc>
          <w:tcPr>
            <w:tcW w:type="dxa" w:w="5083"/>
            <w:vAlign w:val="center"/>
          </w:tcPr>
          <w:p>
            <w:pPr>
              <w:spacing w:after="0"/>
            </w:pPr>
            <w:r/>
            <w:r>
              <w:rPr>
                <w:rFonts w:ascii="Aptos" w:hAnsi="Aptos"/>
                <w:b w:val="0"/>
                <w:color w:val="111827"/>
                <w:sz w:val="16"/>
              </w:rPr>
              <w:t>Brand, Readiness, Awareness, Nurture, Discoverability/Trust and Scale interventions prioritised.</w:t>
            </w:r>
          </w:p>
        </w:tc>
      </w:tr>
      <w:tr>
        <w:tc>
          <w:tcPr>
            <w:tcW w:type="dxa" w:w="5083"/>
            <w:vAlign w:val="center"/>
            <w:shd w:fill="F9FAFB"/>
          </w:tcPr>
          <w:p>
            <w:pPr>
              <w:spacing w:after="0"/>
            </w:pPr>
            <w:r/>
            <w:r>
              <w:rPr>
                <w:rFonts w:ascii="Aptos" w:hAnsi="Aptos"/>
                <w:b w:val="0"/>
                <w:color w:val="111827"/>
                <w:sz w:val="16"/>
              </w:rPr>
              <w:t>Roadmap</w:t>
            </w:r>
          </w:p>
        </w:tc>
        <w:tc>
          <w:tcPr>
            <w:tcW w:type="dxa" w:w="5083"/>
            <w:vAlign w:val="center"/>
            <w:shd w:fill="F9FAFB"/>
          </w:tcPr>
          <w:p>
            <w:pPr>
              <w:spacing w:after="0"/>
            </w:pPr>
            <w:r/>
            <w:r>
              <w:rPr>
                <w:rFonts w:ascii="Aptos" w:hAnsi="Aptos"/>
                <w:b w:val="0"/>
                <w:color w:val="111827"/>
                <w:sz w:val="16"/>
              </w:rPr>
              <w:t>90-day and 12-month sequencing, owners and dependencies agreed.</w:t>
            </w:r>
          </w:p>
        </w:tc>
      </w:tr>
      <w:tr>
        <w:tc>
          <w:tcPr>
            <w:tcW w:type="dxa" w:w="5083"/>
            <w:vAlign w:val="center"/>
          </w:tcPr>
          <w:p>
            <w:pPr>
              <w:spacing w:after="0"/>
            </w:pPr>
            <w:r/>
            <w:r>
              <w:rPr>
                <w:rFonts w:ascii="Aptos" w:hAnsi="Aptos"/>
                <w:b w:val="0"/>
                <w:color w:val="111827"/>
                <w:sz w:val="16"/>
              </w:rPr>
              <w:t>Measurement</w:t>
            </w:r>
          </w:p>
        </w:tc>
        <w:tc>
          <w:tcPr>
            <w:tcW w:type="dxa" w:w="5083"/>
            <w:vAlign w:val="center"/>
          </w:tcPr>
          <w:p>
            <w:pPr>
              <w:spacing w:after="0"/>
            </w:pPr>
            <w:r/>
            <w:r>
              <w:rPr>
                <w:rFonts w:ascii="Aptos" w:hAnsi="Aptos"/>
                <w:b w:val="0"/>
                <w:color w:val="111827"/>
                <w:sz w:val="16"/>
              </w:rPr>
              <w:t>KPI tree and dashboard baseline established.</w:t>
            </w:r>
          </w:p>
        </w:tc>
      </w:tr>
      <w:tr>
        <w:tc>
          <w:tcPr>
            <w:tcW w:type="dxa" w:w="5083"/>
            <w:vAlign w:val="center"/>
            <w:shd w:fill="F9FAFB"/>
          </w:tcPr>
          <w:p>
            <w:pPr>
              <w:spacing w:after="0"/>
            </w:pPr>
            <w:r/>
            <w:r>
              <w:rPr>
                <w:rFonts w:ascii="Aptos" w:hAnsi="Aptos"/>
                <w:b w:val="0"/>
                <w:color w:val="111827"/>
                <w:sz w:val="16"/>
              </w:rPr>
              <w:t>Governance</w:t>
            </w:r>
          </w:p>
        </w:tc>
        <w:tc>
          <w:tcPr>
            <w:tcW w:type="dxa" w:w="5083"/>
            <w:vAlign w:val="center"/>
            <w:shd w:fill="F9FAFB"/>
          </w:tcPr>
          <w:p>
            <w:pPr>
              <w:spacing w:after="0"/>
            </w:pPr>
            <w:r/>
            <w:r>
              <w:rPr>
                <w:rFonts w:ascii="Aptos" w:hAnsi="Aptos"/>
                <w:b w:val="0"/>
                <w:color w:val="111827"/>
                <w:sz w:val="16"/>
              </w:rPr>
              <w:t>Decision rights, review cadence, partner/team accountability and corrective-action process agreed.</w:t>
            </w:r>
          </w:p>
        </w:tc>
      </w:tr>
      <w:tr>
        <w:tc>
          <w:tcPr>
            <w:tcW w:type="dxa" w:w="5083"/>
            <w:vAlign w:val="center"/>
          </w:tcPr>
          <w:p>
            <w:pPr>
              <w:spacing w:after="0"/>
            </w:pPr>
            <w:r/>
            <w:r>
              <w:rPr>
                <w:rFonts w:ascii="Aptos" w:hAnsi="Aptos"/>
                <w:b w:val="0"/>
                <w:color w:val="111827"/>
                <w:sz w:val="16"/>
              </w:rPr>
              <w:t>Scale Gate</w:t>
            </w:r>
          </w:p>
        </w:tc>
        <w:tc>
          <w:tcPr>
            <w:tcW w:type="dxa" w:w="5083"/>
            <w:vAlign w:val="center"/>
          </w:tcPr>
          <w:p>
            <w:pPr>
              <w:spacing w:after="0"/>
            </w:pPr>
            <w:r/>
            <w:r>
              <w:rPr>
                <w:rFonts w:ascii="Aptos" w:hAnsi="Aptos"/>
                <w:b w:val="0"/>
                <w:color w:val="111827"/>
                <w:sz w:val="16"/>
              </w:rPr>
              <w:t>Readiness criteria defined before material increases in demand investment.</w:t>
            </w:r>
          </w:p>
        </w:tc>
      </w:tr>
    </w:tbl>
    <w:p>
      <w:pPr>
        <w:spacing w:after="0"/>
      </w:pPr>
    </w:p>
    <w:p>
      <w:pPr>
        <w:pStyle w:val="Heading1"/>
      </w:pPr>
      <w:r>
        <w:t>26. Positioning, USP &amp; Marketing Language</w:t>
      </w:r>
    </w:p>
    <w:p>
      <w:pPr>
        <w:pStyle w:val="Heading2"/>
      </w:pPr>
      <w:r>
        <w:t>Recommended USP</w:t>
      </w:r>
    </w:p>
    <w:p>
      <w:r>
        <w:t>One integrated growth architecture connecting positioning, market, demand, conversion, trust, nurture, sales alignment and governance to measurable business outcomes.</w:t>
      </w:r>
    </w:p>
    <w:p>
      <w:pPr>
        <w:pStyle w:val="Heading2"/>
      </w:pPr>
      <w:r>
        <w:t>One-Line Proposition</w:t>
      </w:r>
    </w:p>
    <w:p>
      <w:r>
        <w:t>We diagnose where your organisation is, define where it needs to go, and architect the integrated growth system that bridges the gap.</w:t>
      </w:r>
    </w:p>
    <w:p>
      <w:pPr>
        <w:pStyle w:val="Heading2"/>
      </w:pPr>
      <w:r>
        <w:t>Core Marketing Copy</w:t>
      </w:r>
    </w:p>
    <w:p>
      <w:r>
        <w:t>We don't sell marketing activities. We architect the system that moves an organisation to its next level.</w:t>
      </w:r>
    </w:p>
    <w:p>
      <w:pPr>
        <w:pStyle w:val="Heading2"/>
      </w:pPr>
      <w:r>
        <w:t>Expanded Marketing Copy</w:t>
      </w:r>
    </w:p>
    <w:p>
      <w:r>
        <w:t>More campaigns do not automatically create more growth. Level141 Growth Architecture™ identifies the gaps across your market, positioning, presence, conversion, awareness, nurture, trust, demand and governance—then connects them into one measurable architecture designed for your next level.</w:t>
      </w:r>
    </w:p>
    <w:p>
      <w:pPr>
        <w:pStyle w:val="Heading1"/>
      </w:pPr>
      <w:r>
        <w:t>27. Product Outcome Statement &amp; Level141 Promise</w:t>
      </w:r>
    </w:p>
    <w:tbl>
      <w:tblPr>
        <w:tblStyle w:val="TableGrid"/>
        <w:tblW w:type="auto" w:w="0"/>
        <w:tblLook w:firstColumn="1" w:firstRow="1" w:lastColumn="0" w:lastRow="0" w:noHBand="0" w:noVBand="1" w:val="04A0"/>
      </w:tblPr>
      <w:tblGrid>
        <w:gridCol w:w="10166"/>
      </w:tblGrid>
      <w:tr>
        <w:tc>
          <w:tcPr>
            <w:tcW w:type="dxa" w:w="10166"/>
            <w:shd w:fill="E6FFFB"/>
          </w:tcPr>
          <w:p>
            <w:r>
              <w:rPr>
                <w:b/>
                <w:color w:val="0F766E"/>
                <w:sz w:val="22"/>
              </w:rPr>
              <w:t>Before → After</w:t>
              <w:br/>
            </w:r>
            <w:r>
              <w:rPr>
                <w:sz w:val="18"/>
              </w:rPr>
              <w:t>BEFORE: disconnected growth activities, unclear priorities, inconsistent positioning, leakage between awareness and sales, weak accountability and scaling decisions based on activity.</w:t>
              <w:br/>
              <w:br/>
              <w:t>AFTER: a diagnosed and prioritised growth system with clear market positioning, defined ICP, conversion readiness, integrated demand and nurture, stronger trust, sales alignment, measurable KPIs and governed execution.</w:t>
            </w:r>
          </w:p>
        </w:tc>
      </w:tr>
    </w:tbl>
    <w:p>
      <w:pPr>
        <w:spacing w:after="0"/>
      </w:pPr>
    </w:p>
    <w:p>
      <w:pPr>
        <w:pStyle w:val="Heading2"/>
      </w:pPr>
      <w:r>
        <w:t>The Level141 Promise</w:t>
      </w:r>
    </w:p>
    <w:p>
      <w:r>
        <w:t>Level141 does not sell a collection of marketing activities. We architect clarity across the growth system, connect the critical levers, define how success will be measured and govern the journey from the organisation's current level to its next level.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Internal Master Product Reference • PEAK™ • LQ™ • B.R.A.N.D.S.™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4"/>
      </w:rPr>
      <w:t>LEVEL141  |  GROWTH ARCHITECTURE™  |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