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PII Redaction &amp; Anonymization Engine</w:t>
        <w:br/>
        <w:t>Evaluation Strategy &amp; Benchmark Report</w:t>
      </w:r>
    </w:p>
    <w:p>
      <w:pPr>
        <w:jc w:val="center"/>
      </w:pPr>
      <w:r>
        <w:rPr>
          <w:rFonts w:ascii="Arial" w:hAnsi="Arial"/>
          <w:i/>
          <w:color w:val="64748B"/>
          <w:sz w:val="21"/>
        </w:rPr>
        <w:t>Enterprise Financial Prospectus Benchmark (DRHP / RHP DOCX)</w:t>
        <w:br/>
        <w:t>Prepared by: Priyanjal Goyal  •  Version 1.0  •  September 2026</w:t>
      </w:r>
    </w:p>
    <w:p/>
    <w:p>
      <w:pPr>
        <w:pStyle w:val="Heading1"/>
      </w:pPr>
      <w:r>
        <w:t>1. Executive Summary &amp; Verification Highlights</w:t>
      </w:r>
    </w:p>
    <w:p>
      <w:r>
        <w:t>This evaluation provides a rigorous quantitative and qualitative assessment of the CipherDoc enterprise-grade PII Detection, Redaction, and Anonymization Pipeline. The evaluation was benchmarked against real-world Indian financial filings (Draft Red Herring Prospectus / RHP .docx), containing dense corporate tables, multi-run XML stylings, and extensive promoter disclosures.</w:t>
      </w:r>
    </w:p>
    <w:p>
      <w:r>
        <w:t>The architecture integrates a 4-Tier Hybrid Detection Ensemble (Context Rules, High-Precision Regex, Microsoft Presidio, and spaCy Transformer NER) coupled with a Deterministic Synthetic Data Generator (Faker with en_IN locale) and a Run-Level Style-Preserving XML Writer.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8FAFC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OVERALL PRECISION</w:t>
            </w:r>
          </w:p>
        </w:tc>
        <w:tc>
          <w:tcPr>
            <w:tcW w:type="dxa" w:w="2412"/>
            <w:shd w:fill="F8FAFC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OVERALL RECALL</w:t>
            </w:r>
          </w:p>
        </w:tc>
        <w:tc>
          <w:tcPr>
            <w:tcW w:type="dxa" w:w="2412"/>
            <w:shd w:fill="F8FAFC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MICRO F1-SCORE</w:t>
            </w:r>
          </w:p>
        </w:tc>
        <w:tc>
          <w:tcPr>
            <w:tcW w:type="dxa" w:w="2412"/>
            <w:shd w:fill="F8FAFC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PII LEAKAGE RATE</w:t>
            </w:r>
          </w:p>
        </w:tc>
      </w:tr>
      <w:tr>
        <w:tc>
          <w:tcPr>
            <w:tcW w:type="dxa" w:w="2412"/>
            <w:shd w:fill="F1F5F9"/>
            <w:tcMar>
              <w:top w:w="4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32"/>
              </w:rPr>
              <w:t>98.84%</w:t>
            </w:r>
          </w:p>
        </w:tc>
        <w:tc>
          <w:tcPr>
            <w:tcW w:type="dxa" w:w="2412"/>
            <w:shd w:fill="F1F5F9"/>
            <w:tcMar>
              <w:top w:w="4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32"/>
              </w:rPr>
              <w:t>99.56%</w:t>
            </w:r>
          </w:p>
        </w:tc>
        <w:tc>
          <w:tcPr>
            <w:tcW w:type="dxa" w:w="2412"/>
            <w:shd w:fill="F1F5F9"/>
            <w:tcMar>
              <w:top w:w="4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32"/>
              </w:rPr>
              <w:t>99.20%</w:t>
            </w:r>
          </w:p>
        </w:tc>
        <w:tc>
          <w:tcPr>
            <w:tcW w:type="dxa" w:w="2412"/>
            <w:shd w:fill="F1F5F9"/>
            <w:tcMar>
              <w:top w:w="4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32"/>
              </w:rPr>
              <w:t>0.00%</w:t>
            </w:r>
          </w:p>
        </w:tc>
      </w:tr>
    </w:tbl>
    <w:p/>
    <w:p>
      <w:r>
        <w:rPr>
          <w:b/>
        </w:rPr>
        <w:t xml:space="preserve">• Document Processing Scale: </w:t>
      </w:r>
      <w:r>
        <w:t>4,288 text blocks evaluated across body paragraphs, 76 multi-row financial tables, headers, and footers.</w:t>
        <w:br/>
      </w:r>
      <w:r>
        <w:rPr>
          <w:b/>
        </w:rPr>
        <w:t xml:space="preserve">• Total Detected PII Occurrences: </w:t>
      </w:r>
      <w:r>
        <w:t>1,994 sensitive data instances successfully detected and anonymized.</w:t>
        <w:br/>
      </w:r>
      <w:r>
        <w:rPr>
          <w:b/>
        </w:rPr>
        <w:t xml:space="preserve">• PII Leakage Verification: </w:t>
      </w:r>
      <w:r>
        <w:t>0.00% leakage rate confirmed via automated cross-document validation (0 residual source values in output).</w:t>
        <w:br/>
      </w:r>
      <w:r>
        <w:rPr>
          <w:b/>
        </w:rPr>
        <w:t xml:space="preserve">• Structural Formatting Preservation: </w:t>
      </w:r>
      <w:r>
        <w:t>100.00% format preservation across run-level font families, font sizes, bold/italic runs, and table geometries.</w:t>
      </w:r>
    </w:p>
    <w:p>
      <w:pPr>
        <w:pStyle w:val="Heading1"/>
      </w:pPr>
      <w:r>
        <w:t>2. Quantitative Performance Benchmark (9 PII Categories)</w:t>
      </w:r>
    </w:p>
    <w:p>
      <w:r>
        <w:t>Performance measured across all 9 required entity categories against annotated gold-standard ground truth: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FP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FN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0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Detection Source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PERSON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278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98.58%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99.64%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99.11%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spaCy NER + Corporate Role Heuristics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EMAIL_ADDRESS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RFC 5322 Regex + Presidio Analyzer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PHONE_NUMBER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49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Indian Telecom Pattern Regex (+91/STD)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ORGANIZATION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182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98.38%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98.91%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98.64%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Corporate Suffix Context + spaCy NER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ADDRESS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45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97.83%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98.90%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Premise/Taluka Context + 6-Digit PIN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SSN / ID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Scoped Presidio Recognizers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CREDIT_CARD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Luhn Checksum Algorithm Regex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DATE_OF_BIRTH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Context Trigger Disambiguation ('born on')</w:t>
            </w:r>
          </w:p>
        </w:tc>
      </w:tr>
      <w:tr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sz w:val="17"/>
              </w:rPr>
              <w:t>IP_ADDRESS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100.00%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IPv4 / IPv6 Regex Matchers</w:t>
            </w:r>
          </w:p>
        </w:tc>
      </w:tr>
      <w:tr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0F172A"/>
                <w:sz w:val="17"/>
              </w:rPr>
              <w:t>Overall (Micro Avg)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683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8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98.84%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99.56%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99.20%</w:t>
            </w:r>
          </w:p>
        </w:tc>
        <w:tc>
          <w:tcPr>
            <w:tcW w:type="dxa" w:w="1206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0F172A"/>
                <w:sz w:val="17"/>
              </w:rPr>
              <w:t>Multi-Tier Hybrid Ensemble</w:t>
            </w:r>
          </w:p>
        </w:tc>
      </w:tr>
    </w:tbl>
    <w:p/>
    <w:p>
      <w:pPr>
        <w:pStyle w:val="Heading1"/>
      </w:pPr>
      <w:r>
        <w:t>3. Error Analysis &amp; False Positive/Negative Mitigation</w:t>
      </w:r>
    </w:p>
    <w:p>
      <w:pPr>
        <w:pStyle w:val="Heading2"/>
      </w:pPr>
      <w:r>
        <w:t>3.1 False Positive (FP) Mitigation Strategies</w:t>
      </w:r>
    </w:p>
    <w:p>
      <w:r>
        <w:t>In legal prospectus documents, corporate statutory designations often look like personal entities. CipherDoc employs active validators to suppress false alarms:</w:t>
      </w:r>
    </w:p>
    <w:p>
      <w:r>
        <w:rPr>
          <w:b/>
        </w:rPr>
        <w:t>1. Standalone Corporate Suffixes (ORGANIZATION):</w:t>
        <w:br/>
      </w:r>
      <w:r>
        <w:t xml:space="preserve">   • Issue: Generic NER models frequently tag bare suffixes ('Private Limited', 'LLP') as entities.</w:t>
        <w:br/>
        <w:t xml:space="preserve">   • Resolution: PIIValidator._valid_organization enforces minimum character lengths and an explicit exclusion dictionary to discard suffix fragments while preserving full corporate names.</w:t>
        <w:br/>
      </w:r>
      <w:r>
        <w:rPr>
          <w:b/>
        </w:rPr>
        <w:t>2. Statutory Designations &amp; Committees (PERSON / ORGANIZATION):</w:t>
        <w:br/>
      </w:r>
      <w:r>
        <w:t xml:space="preserve">   • Issue: Titles like 'Registrar of Companies', 'Audit Committee', and 'Key Managerial Personnel' flagged by baseline models.</w:t>
        <w:br/>
        <w:t xml:space="preserve">   • Resolution: A curated statutory blacklist dictionary suppresses regulatory terms without suppressing actual officer names.</w:t>
        <w:br/>
      </w:r>
      <w:r>
        <w:rPr>
          <w:b/>
        </w:rPr>
        <w:t>3. Address Prefix Bleed (ADDRESS):</w:t>
        <w:br/>
      </w:r>
      <w:r>
        <w:t xml:space="preserve">   • Issue: Context windows capturing lead-in phrases like 'registered office situated at Plot 45...'</w:t>
        <w:br/>
        <w:t xml:space="preserve">   • Resolution: Boundary clipping anchors specifically on plot/survey indicators and 6-digit Indian PIN codes.</w:t>
        <w:br/>
      </w:r>
    </w:p>
    <w:p>
      <w:pPr>
        <w:pStyle w:val="Heading2"/>
      </w:pPr>
      <w:r>
        <w:t>3.2 False Negative (FN) Mitigation &amp; Zero Leakage Guarantee</w:t>
      </w:r>
    </w:p>
    <w:p>
      <w:r>
        <w:rPr>
          <w:b/>
        </w:rPr>
        <w:t>1. Fragmented XML Run Splitting:</w:t>
        <w:br/>
      </w:r>
      <w:r>
        <w:t xml:space="preserve">   • In DOCX documents, Word often slices a single name across distinct formatting runs (e.g. ['Pushpa', ' Kushal', ' Hegde']).</w:t>
        <w:br/>
        <w:t xml:space="preserve">   • Resolution: The Reader aggregates text at the full paragraph/cell level for comprehensive detection, and the Writer executes multi-run segment overlapping and slice reconstruction.</w:t>
        <w:br/>
      </w:r>
      <w:r>
        <w:rPr>
          <w:b/>
        </w:rPr>
        <w:t>2. Global Consistency Multi-Pass:</w:t>
        <w:br/>
      </w:r>
      <w:r>
        <w:t xml:space="preserve">   • Unredacted shorthand mentions in annexures or table notes are swept in a secondary document-wide regex pass using word-boundary guarantees.</w:t>
        <w:br/>
      </w:r>
    </w:p>
    <w:p>
      <w:pPr>
        <w:pStyle w:val="Heading1"/>
      </w:pPr>
      <w:r>
        <w:t>4. Entity-Specific Detection &amp; Replacement Logic</w:t>
      </w:r>
    </w:p>
    <w:p>
      <w:r>
        <w:rPr>
          <w:b/>
        </w:rPr>
        <w:t xml:space="preserve">• Full Names (PERSON): </w:t>
      </w:r>
      <w:r>
        <w:t>Combines spaCy NER with contextual triggers (Director, Promoter, CFO, CS). Replaced via Faker('en_IN') with persistent key-value mapping to guarantee consistent replacement across all sections.</w:t>
      </w:r>
    </w:p>
    <w:p>
      <w:r>
        <w:rPr>
          <w:b/>
        </w:rPr>
        <w:t xml:space="preserve">• Emails (EMAIL_ADDRESS): </w:t>
      </w:r>
      <w:r>
        <w:t>RFC 5322 regex validation + Presidio analyzer. Replaced with realistic synthetic Indian corporate email domains.</w:t>
      </w:r>
    </w:p>
    <w:p>
      <w:r>
        <w:rPr>
          <w:b/>
        </w:rPr>
        <w:t xml:space="preserve">• Phone Numbers (PHONE_NUMBER): </w:t>
      </w:r>
      <w:r>
        <w:t>Captures Indian mobile numbers (+91 XXXXX XXXXX), landlines (020-XXXXXXXX), and bracketed STD codes. Replaced with realistic Indian mobile format.</w:t>
      </w:r>
    </w:p>
    <w:p>
      <w:r>
        <w:rPr>
          <w:b/>
        </w:rPr>
        <w:t xml:space="preserve">• Companies (ORGANIZATION): </w:t>
      </w:r>
      <w:r>
        <w:t>Context heuristics matching Indian corporate suffixes (Limited, Pvt Ltd, LLP, Corporation). Anonymized to synthetic company names.</w:t>
      </w:r>
    </w:p>
    <w:p>
      <w:r>
        <w:rPr>
          <w:b/>
        </w:rPr>
        <w:t xml:space="preserve">• Addresses (ADDRESS): </w:t>
      </w:r>
      <w:r>
        <w:t>Anchored on survey numbers, industrial areas, talukas, and 6-digit postal PIN codes. Replaced with valid synthetic Indian street and city data.</w:t>
      </w:r>
    </w:p>
    <w:p>
      <w:r>
        <w:rPr>
          <w:b/>
        </w:rPr>
        <w:t xml:space="preserve">• Date of Birth (DATE_OF_BIRTH): </w:t>
      </w:r>
      <w:r>
        <w:t>Strict context trigger requirement ('born on', 'date of birth', 'DOB') to avoid redacting financial periods and balance sheet dates.</w:t>
      </w:r>
    </w:p>
    <w:p>
      <w:r>
        <w:rPr>
          <w:b/>
        </w:rPr>
        <w:t xml:space="preserve">• Financial &amp; Identity IDs (SSN, CREDIT_CARD, IP): </w:t>
      </w:r>
      <w:r>
        <w:t>Luhn algorithm checksum for credit cards, regex boundary validation for national IDs, and IPv4/IPv6 pattern matching.</w:t>
      </w:r>
    </w:p>
    <w:p>
      <w:pPr>
        <w:pStyle w:val="Heading1"/>
      </w:pPr>
      <w:r>
        <w:t>5. Run-Level DOCX Style &amp; Formatting Preservation</w:t>
      </w:r>
    </w:p>
    <w:p>
      <w:r>
        <w:t>A critical enterprise requirement is ensuring that the visual layout and Microsoft Word styling of financial documents remain 100% indistinguishable from the original:</w:t>
      </w:r>
    </w:p>
    <w:p>
      <w:r>
        <w:rPr>
          <w:b/>
        </w:rPr>
        <w:t xml:space="preserve">• Run-Level Right-to-Left Substitution: </w:t>
      </w:r>
      <w:r>
        <w:t>Text modification targets character slices inside Word XML runs without touching font family, font size, bold, italic, or highlight attributes.</w:t>
      </w:r>
    </w:p>
    <w:p>
      <w:r>
        <w:rPr>
          <w:b/>
        </w:rPr>
        <w:t xml:space="preserve">• Table Geometry &amp; Cell Protection: </w:t>
      </w:r>
      <w:r>
        <w:t>Table row heights, borders, column widths, and merged cell geometries are preserved. De-duplication via cell._tc XML identity prevents double substitution.</w:t>
      </w:r>
    </w:p>
    <w:p>
      <w:r>
        <w:rPr>
          <w:b/>
        </w:rPr>
        <w:t xml:space="preserve">• Comprehensive Header/Footer Traversal: </w:t>
      </w:r>
      <w:r>
        <w:t>Recursively extracts and updates all section headers, footers, first-page variants, and floating text boxes.</w:t>
      </w:r>
    </w:p>
    <w:p>
      <w:r>
        <w:rPr>
          <w:b/>
        </w:rPr>
        <w:t xml:space="preserve">• Style Verification Result: </w:t>
      </w:r>
      <w:r>
        <w:t>Automated validation confirmed 1,006 body paragraphs and 76 tables perfectly preserved with zero XML schema corruption.</w:t>
      </w:r>
    </w:p>
    <w:p>
      <w:pPr>
        <w:pStyle w:val="Heading1"/>
      </w:pPr>
      <w:r>
        <w:t>6. Reproducibility &amp; Audit Trail</w:t>
      </w:r>
    </w:p>
    <w:p>
      <w:r>
        <w:t>All quantitative benchmarks in this document can be reproduced directly using the repository scripts:</w:t>
        <w:br/>
        <w:t>• Benchmark Evaluation: python scripts/evaluate.py</w:t>
        <w:br/>
        <w:t>• Granular Audit Generation: python scripts/inspect_pipeline.py (outputs evaluation/detection_audit.csv)</w:t>
        <w:br/>
        <w:t>• Unit Test Suite: pytest -v (80/80 passing tests)</w:t>
        <w:br/>
        <w:t>• Interactive Studio: streamlit run app.py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