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</w:t>
      </w:r>
    </w:p>
    <w:p>
      <w:pPr>
        <w:pStyle w:val="Heading1"/>
      </w:pPr>
      <w:r>
        <w:t>Care Transition Efficiency &amp; Placement Outcome Analytics</w:t>
      </w:r>
    </w:p>
    <w:p>
      <w:pPr>
        <w:pStyle w:val="Heading1"/>
      </w:pPr>
      <w:r>
        <w:t>Purpose</w:t>
      </w:r>
    </w:p>
    <w:p>
      <w:r>
        <w:t>Provide an operational dashboard for the UAC care pipeline: CBP custody -&gt; HHS care -&gt; sponsor discharge.</w:t>
      </w:r>
    </w:p>
    <w:p>
      <w:pPr>
        <w:pStyle w:val="Heading1"/>
      </w:pPr>
      <w:r>
        <w:t>Dataset at a glance</w:t>
      </w:r>
    </w:p>
    <w:p>
      <w:r>
        <w:t>1,170 source rows; 450 blank placeholder rows excluded; 720 valid reporting observations spanning January 12, 2023 to December 21, 2025. The dataset records aggregate apprehension, custody, transfer, HHS-care and discharge activity.</w:t>
      </w:r>
    </w:p>
    <w:p>
      <w:pPr>
        <w:pStyle w:val="Heading1"/>
      </w:pPr>
      <w:r>
        <w:t>What the dashboard measures</w:t>
      </w:r>
    </w:p>
    <w:p>
      <w:r>
        <w:t>Transfer Efficiency, Discharge Effectiveness, end-to-end Pipeline Throughput, Backlog Accumulation Rate, Outcome Stability Score, movement volumes, monthly trends, weekday/weekend patterns and bottleneck pressure.</w:t>
      </w:r>
    </w:p>
    <w:p>
      <w:pPr>
        <w:pStyle w:val="Heading1"/>
      </w:pPr>
      <w:r>
        <w:t>Decision-useful views</w:t>
      </w:r>
    </w:p>
    <w:p>
      <w:r>
        <w:t>The dashboard highlights periods where observed entries exceed discharges, months with weak or strong transfer/discharge indicators, changes in outcome stability, and reporting-day patterns that merit operational review.</w:t>
      </w:r>
    </w:p>
    <w:p>
      <w:pPr>
        <w:pStyle w:val="Heading1"/>
      </w:pPr>
      <w:r>
        <w:t>Recommended action</w:t>
      </w:r>
    </w:p>
    <w:p>
      <w:r>
        <w:t>Use the dashboard for recurring monitoring, investigate sustained accumulation pressure, review transfer and discharge indicators together, and collect case-level timestamps in future data systems to calculate true processing duration and delay percentiles.</w:t>
      </w:r>
    </w:p>
    <w:p>
      <w:pPr>
        <w:pStyle w:val="Heading1"/>
      </w:pPr>
      <w:r>
        <w:t>Analytical caution</w:t>
      </w:r>
    </w:p>
    <w:p>
      <w:r>
        <w:t>The dataset is aggregate and timestamp-limited. Ratios are flow indicators and discharge is the available aggregate proxy for successful exit/placement; neither should be interpreted as an individual case waiting-time or causal policy measure.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