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Layout w:type="fixed"/>
        <w:tblLook w:val="0000"/>
      </w:tblPr>
      <w:tblGrid>
        <w:gridCol w:w="1319"/>
        <w:gridCol w:w="8234"/>
        <w:tblGridChange w:id="0">
          <w:tblGrid>
            <w:gridCol w:w="1319"/>
            <w:gridCol w:w="8234"/>
          </w:tblGrid>
        </w:tblGridChange>
      </w:tblGrid>
      <w:tr>
        <w:trPr>
          <w:trHeight w:val="2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-68579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b="0" l="0" r="0" t="0"/>
                  <wp:wrapNone/>
                  <wp:docPr descr="MONO" id="26" name="image1.png"/>
                  <a:graphic>
                    <a:graphicData uri="http://schemas.openxmlformats.org/drawingml/2006/picture">
                      <pic:pic>
                        <pic:nvPicPr>
                          <pic:cNvPr descr="MONO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DEPARTMENT OF COMPUTER SCIENCE &amp; ENGINEERING</w:t>
            </w:r>
          </w:p>
          <w:p w:rsidR="00000000" w:rsidDel="00000000" w:rsidP="00000000" w:rsidRDefault="00000000" w:rsidRPr="00000000" w14:paraId="00000004">
            <w:pPr>
              <w:spacing w:before="120" w:lineRule="auto"/>
              <w:jc w:val="center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NATIONAL INSTITUTE OF TECHNOLOGY PATNA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Ashok Raj Path, PATNA 800 005 (Bihar),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" w:hRule="atLeast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6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     Phone No.: 0612 – 2372715, 2370419, 2370843, 2371929, 2371930, 2371715 Fax – 0612- 2670631 Website: </w:t>
            </w:r>
            <w:hyperlink r:id="rId8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16"/>
                  <w:szCs w:val="16"/>
                  <w:u w:val="single"/>
                  <w:rtl w:val="0"/>
                </w:rPr>
                <w:t xml:space="preserve">www.nitp.ac.in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-1003299</wp:posOffset>
                      </wp:positionH>
                      <wp:positionV relativeFrom="paragraph">
                        <wp:posOffset>203200</wp:posOffset>
                      </wp:positionV>
                      <wp:extent cx="6219825" cy="57150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36088" y="3780000"/>
                                <a:ext cx="6219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hickThin" w="571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-1003299</wp:posOffset>
                      </wp:positionH>
                      <wp:positionV relativeFrom="paragraph">
                        <wp:posOffset>203200</wp:posOffset>
                      </wp:positionV>
                      <wp:extent cx="6219825" cy="57150"/>
                      <wp:effectExtent b="0" l="0" r="0" t="0"/>
                      <wp:wrapNone/>
                      <wp:docPr id="2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19825" cy="57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CS4403</w:t>
        <w:tab/>
        <w:t xml:space="preserve">Design and Analysis of Algorithms</w:t>
        <w:tab/>
        <w:t xml:space="preserve">                  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L-T-P-Cr: 3-1-0-4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Pre-requisites: </w:t>
      </w: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provide a solid foundation in algorithm design and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important algorithmic design paradigms and methods of analysis.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Synthesize efficient algorithms in common engineering design situations.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Outcomes: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the course, a student should have: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6390"/>
        <w:gridCol w:w="2055"/>
        <w:tblGridChange w:id="0">
          <w:tblGrid>
            <w:gridCol w:w="805"/>
            <w:gridCol w:w="6390"/>
            <w:gridCol w:w="2055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spacing w:line="2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Outcome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Mapping to POs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Analyze worst-case running times of algorithms using asymptotic analysis.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PO2, PO1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the divide-and-conquer paradigm and explain when an algorithmic design situation calls for it.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PO2, PO3</w:t>
            </w:r>
          </w:p>
          <w:p w:rsidR="00000000" w:rsidDel="00000000" w:rsidP="00000000" w:rsidRDefault="00000000" w:rsidRPr="00000000" w14:paraId="00000020">
            <w:pPr>
              <w:spacing w:line="2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the dynamic-programming paradigm and explain when an algorithmic design situation calls for it.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PO2, PO3</w:t>
            </w:r>
          </w:p>
          <w:p w:rsidR="00000000" w:rsidDel="00000000" w:rsidP="00000000" w:rsidRDefault="00000000" w:rsidRPr="00000000" w14:paraId="00000024">
            <w:pPr>
              <w:spacing w:line="2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the greedy paradigm and explain when an algorithmic design situation calls for it.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PO2, PO3</w:t>
            </w:r>
          </w:p>
          <w:p w:rsidR="00000000" w:rsidDel="00000000" w:rsidP="00000000" w:rsidRDefault="00000000" w:rsidRPr="00000000" w14:paraId="00000028">
            <w:pPr>
              <w:spacing w:line="2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Analyzing capability for a given problem and decision about choosing efficient algorithm type to solve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PO2, PO3</w:t>
            </w:r>
          </w:p>
        </w:tc>
      </w:tr>
    </w:tbl>
    <w:p w:rsidR="00000000" w:rsidDel="00000000" w:rsidP="00000000" w:rsidRDefault="00000000" w:rsidRPr="00000000" w14:paraId="0000002C">
      <w:pPr>
        <w:spacing w:line="2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right="26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I: Introduction: </w:t>
        <w:tab/>
        <w:tab/>
        <w:tab/>
        <w:tab/>
        <w:tab/>
        <w:tab/>
        <w:tab/>
        <w:tab/>
        <w:t xml:space="preserve">           9 Lectures</w:t>
      </w:r>
    </w:p>
    <w:p w:rsidR="00000000" w:rsidDel="00000000" w:rsidP="00000000" w:rsidRDefault="00000000" w:rsidRPr="00000000" w14:paraId="0000002E">
      <w:pPr>
        <w:spacing w:line="276" w:lineRule="auto"/>
        <w:ind w:right="26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Algorithm, performance evaluation of algorithms, space &amp; time complexity, notion of optimality, Master’s Theorem.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Divide and Conquer: </w:t>
      </w:r>
      <w:r w:rsidDel="00000000" w:rsidR="00000000" w:rsidRPr="00000000">
        <w:rPr>
          <w:sz w:val="24"/>
          <w:szCs w:val="24"/>
          <w:rtl w:val="0"/>
        </w:rPr>
        <w:t xml:space="preserve">General Concept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Finding the maximum and minimum, Quick Sort, Merge Sort, Binary Search, Strassen's matrix multiplication.</w:t>
      </w:r>
    </w:p>
    <w:p w:rsidR="00000000" w:rsidDel="00000000" w:rsidP="00000000" w:rsidRDefault="00000000" w:rsidRPr="00000000" w14:paraId="0000002F">
      <w:pPr>
        <w:spacing w:line="276" w:lineRule="auto"/>
        <w:ind w:right="26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II: Greedy Algorithm</w:t>
      </w:r>
      <w:r w:rsidDel="00000000" w:rsidR="00000000" w:rsidRPr="00000000">
        <w:rPr>
          <w:sz w:val="24"/>
          <w:szCs w:val="24"/>
          <w:rtl w:val="0"/>
        </w:rPr>
        <w:t xml:space="preserve">:   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8 Lectures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Concept, Knapsack Problem (Fractional Knapsack), Job Sequencing with Deadline, Huffman’s Codes, Minimum Cost Spanning Tree- Kruskal’s Algorithm, Prim’s Algorithm, Single Source Shortest Path-Dijkstra’s Algorithm. 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III: Dynamic Programming:                                                                                          8 Lectures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Concept, Matrix-Chain Multiplication, Knapsack Problem DP solution, Activity selection problem DP solution, Single Source Shortest Path- Bellman Ford Algorithm, All pairs shortest paths, Traveling salesman problem. 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IV: Backtracking:                                                                                                              9 Lectures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idea, 8-Queens problem, Graph Coloring, Hamiltonian Cycles.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Branch-And-Bound: </w:t>
      </w:r>
      <w:r w:rsidDel="00000000" w:rsidR="00000000" w:rsidRPr="00000000">
        <w:rPr>
          <w:sz w:val="24"/>
          <w:szCs w:val="24"/>
          <w:rtl w:val="0"/>
        </w:rPr>
        <w:t xml:space="preserve">Basic idea, LC search, the 15-puzzle problem, LC Branch-and-Bound, 0/1 Knapsack Problem.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V: Graph Algorithms:                                                                                                  7 Lectures 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Breadth First Search (BFS), Depth First Search (DFS), Strongly Connected Components, Bi-Connected Components and DFS, Euler Tour, Minimum Spanning Tree- Kruskal's Algorithm, Prim's Algorithm. 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VI: Introduction to NP-Completeness: </w:t>
        <w:tab/>
        <w:tab/>
        <w:tab/>
        <w:tab/>
        <w:tab/>
        <w:t xml:space="preserve">               3 Lectures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concepts on NP- hard and NP-Complete Problems, Discussion on one NP- hard graph problem- CDP. 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Text/Reference Books: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2e, by Thomas H. Cormen, Charles E. Leiserson, Ronald L. Rivest, and Clifford Stein, PHI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Beginning Algorithms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Simen Harris, James Ross, Wiley India.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Fundamentals of Computer Algorithms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E. Horowitz and S. Sahni, Galgotia, </w:t>
      </w:r>
    </w:p>
    <w:sectPr>
      <w:pgSz w:h="16839" w:w="11907" w:orient="portrait"/>
      <w:pgMar w:bottom="450" w:top="720" w:left="720" w:right="1275" w:header="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Verdana"/>
  <w:font w:name="Arial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57CB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F7BE7"/>
    <w:pPr>
      <w:ind w:left="720"/>
      <w:contextualSpacing w:val="1"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styleId="BodyTextChar" w:customStyle="1">
    <w:name w:val="Body Text Char"/>
    <w:basedOn w:val="DefaultParagraphFont"/>
    <w:uiPriority w:val="99"/>
    <w:semiHidden w:val="1"/>
    <w:rsid w:val="00887EEB"/>
  </w:style>
  <w:style w:type="character" w:styleId="BodyTextChar1" w:customStyle="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F53B1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F53B1"/>
    <w:rPr>
      <w:rFonts w:ascii="Segoe UI" w:cs="Segoe UI" w:hAnsi="Segoe UI"/>
      <w:sz w:val="18"/>
      <w:szCs w:val="18"/>
    </w:rPr>
  </w:style>
  <w:style w:type="paragraph" w:styleId="Default" w:customStyle="1">
    <w:name w:val="Default"/>
    <w:rsid w:val="00932F8A"/>
    <w:pPr>
      <w:autoSpaceDE w:val="0"/>
      <w:autoSpaceDN w:val="0"/>
      <w:adjustRightInd w:val="0"/>
    </w:pPr>
    <w:rPr>
      <w:rFonts w:ascii="Cambria" w:cs="Cambria" w:hAnsi="Cambria" w:eastAsiaTheme="minorHAnsi"/>
      <w:color w:val="000000"/>
      <w:sz w:val="24"/>
      <w:szCs w:val="24"/>
      <w:lang w:bidi="hi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nitp.ac.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2u7eeIMIeJz7sOccvm0gGk88nw==">AMUW2mU+76OTsHqfZqyMK2SzNxlImdjatLjhbDZzBlwmLDSHScGIXJNl+3GvtKloFC0HDGrjy73F3sxLQL76Pr7Yp0LSaq70wMTLu7tDqB47+14YIzFgBDZyxBN+UNw1RvJAdqTghdli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2018-07-14T01:49:00Z</dcterms:created>
  <dc:creator>akshay</dc:creator>
</cp:coreProperties>
</file>