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136A" w14:textId="5A3A11D6" w:rsidR="007C6483" w:rsidRDefault="00062E2E">
      <w:pPr>
        <w:rPr>
          <w:rFonts w:ascii="Algerian" w:hAnsi="Algerian"/>
          <w:b/>
          <w:bCs/>
          <w:i/>
          <w:iCs/>
          <w:sz w:val="48"/>
          <w:szCs w:val="48"/>
          <w:lang w:val="en-US"/>
        </w:rPr>
      </w:pPr>
      <w:r>
        <w:rPr>
          <w:rFonts w:ascii="Algerian" w:hAnsi="Algerian"/>
          <w:b/>
          <w:bCs/>
          <w:i/>
          <w:iCs/>
          <w:sz w:val="48"/>
          <w:szCs w:val="48"/>
          <w:lang w:val="en-US"/>
        </w:rPr>
        <w:t xml:space="preserve">        ROLE OF WHO IN PANDEMIC</w:t>
      </w:r>
    </w:p>
    <w:p w14:paraId="00CB332F" w14:textId="0E774FE5" w:rsidR="00062E2E" w:rsidRDefault="00062E2E">
      <w:pPr>
        <w:rPr>
          <w:rFonts w:ascii="Algerian" w:hAnsi="Algerian"/>
          <w:b/>
          <w:bCs/>
          <w:i/>
          <w:iCs/>
          <w:sz w:val="48"/>
          <w:szCs w:val="48"/>
          <w:lang w:val="en-US"/>
        </w:rPr>
      </w:pPr>
    </w:p>
    <w:p w14:paraId="1240B20D" w14:textId="4C001AC1" w:rsidR="00062E2E" w:rsidRDefault="00062E2E">
      <w:pPr>
        <w:rPr>
          <w:rFonts w:ascii="Algerian" w:hAnsi="Algerian"/>
          <w:b/>
          <w:bCs/>
          <w:i/>
          <w:iCs/>
          <w:sz w:val="48"/>
          <w:szCs w:val="48"/>
          <w:lang w:val="en-US"/>
        </w:rPr>
      </w:pPr>
      <w:r>
        <w:rPr>
          <w:rFonts w:ascii="Algerian" w:hAnsi="Algerian"/>
          <w:b/>
          <w:bCs/>
          <w:i/>
          <w:iCs/>
          <w:sz w:val="48"/>
          <w:szCs w:val="48"/>
          <w:lang w:val="en-US"/>
        </w:rPr>
        <w:t xml:space="preserve">             </w:t>
      </w:r>
      <w:r>
        <w:rPr>
          <w:rFonts w:ascii="Algerian" w:hAnsi="Algerian"/>
          <w:b/>
          <w:bCs/>
          <w:i/>
          <w:iCs/>
          <w:noProof/>
          <w:sz w:val="48"/>
          <w:szCs w:val="48"/>
          <w:lang w:val="en-US"/>
        </w:rPr>
        <w:drawing>
          <wp:inline distT="0" distB="0" distL="0" distR="0" wp14:anchorId="4EBC68E9" wp14:editId="17B9E687">
            <wp:extent cx="3009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09900" cy="1504950"/>
                    </a:xfrm>
                    <a:prstGeom prst="rect">
                      <a:avLst/>
                    </a:prstGeom>
                  </pic:spPr>
                </pic:pic>
              </a:graphicData>
            </a:graphic>
          </wp:inline>
        </w:drawing>
      </w:r>
    </w:p>
    <w:p w14:paraId="3B0F3B40" w14:textId="73692D22" w:rsidR="00062E2E" w:rsidRDefault="00062E2E">
      <w:pPr>
        <w:rPr>
          <w:rFonts w:ascii="Algerian" w:hAnsi="Algerian"/>
          <w:b/>
          <w:bCs/>
          <w:i/>
          <w:iCs/>
          <w:sz w:val="48"/>
          <w:szCs w:val="48"/>
          <w:lang w:val="en-US"/>
        </w:rPr>
      </w:pPr>
    </w:p>
    <w:p w14:paraId="24F571C8" w14:textId="771AD441" w:rsidR="00062E2E" w:rsidRDefault="00062E2E">
      <w:pPr>
        <w:rPr>
          <w:rFonts w:ascii="Algerian" w:hAnsi="Algerian"/>
          <w:b/>
          <w:bCs/>
          <w:i/>
          <w:iCs/>
          <w:sz w:val="32"/>
          <w:szCs w:val="32"/>
          <w:lang w:val="en-US"/>
        </w:rPr>
      </w:pPr>
    </w:p>
    <w:p w14:paraId="0B3C59DD" w14:textId="77777777" w:rsidR="00C95ADD" w:rsidRPr="00C95ADD" w:rsidRDefault="00C95ADD" w:rsidP="00C95ADD">
      <w:pPr>
        <w:rPr>
          <w:rFonts w:cstheme="minorHAnsi"/>
          <w:b/>
          <w:bCs/>
          <w:i/>
          <w:iCs/>
          <w:sz w:val="32"/>
          <w:szCs w:val="32"/>
          <w:lang w:val="en-US"/>
        </w:rPr>
      </w:pPr>
      <w:r w:rsidRPr="00C95ADD">
        <w:rPr>
          <w:rFonts w:cstheme="minorHAnsi"/>
          <w:b/>
          <w:bCs/>
          <w:i/>
          <w:iCs/>
          <w:sz w:val="32"/>
          <w:szCs w:val="32"/>
          <w:lang w:val="en-US"/>
        </w:rPr>
        <w:t>А  brief  сritiсаl  exаminаtiоn  оf  the  rоle  оf  WHО  in  рrоviding  glоbаl  heаlth  seсurity  during  the  Соvid-19  раndemiс:</w:t>
      </w:r>
    </w:p>
    <w:p w14:paraId="5B4DB035" w14:textId="57285235" w:rsidR="00062E2E" w:rsidRDefault="00062E2E" w:rsidP="00C95ADD">
      <w:pPr>
        <w:rPr>
          <w:rFonts w:cstheme="minorHAnsi"/>
          <w:b/>
          <w:bCs/>
          <w:i/>
          <w:iCs/>
          <w:sz w:val="32"/>
          <w:szCs w:val="32"/>
          <w:lang w:val="en-US"/>
        </w:rPr>
      </w:pPr>
    </w:p>
    <w:p w14:paraId="25DD992C" w14:textId="77777777" w:rsidR="00C95ADD" w:rsidRP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t>During the pandemic, WHO continuously monitored the evolution of the pandemic, and developed guidance for Member States to put in place appropriate measures including enhanced surveillance and active monitoring, assessment of the pandemic characteristics, and recommendations on appropriate measures including medical and non-medical interventions.</w:t>
      </w:r>
    </w:p>
    <w:p w14:paraId="414A0001" w14:textId="77777777" w:rsidR="00C95ADD" w:rsidRP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t>WHO’s risk assessments were balanced, independent and transparent. Daily updates, weekly surveillance overviews and guidance from WHO provided the basis for evidence-based decisions by the Member States, especially those with fewer resources to perform their own risk assessments. The ECDC regularly developed and provided independent risk assessments, updated them, discussed their content with their Advisory Forum, which consists of the most credible experts in the European Union (EU) public health institutions.</w:t>
      </w:r>
    </w:p>
    <w:p w14:paraId="4EEF0A18" w14:textId="77777777" w:rsidR="00C95ADD" w:rsidRP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lastRenderedPageBreak/>
        <w:t>There was regular interaction between risk assessors and risk managers in the EU system. During the pandemic frequent teleconferences were held with risk managers in the Member States. There was general good collaboration between WHO, EU, ECDC, the European Medicines Agency (EMA) and the European Food Safety Authority (EFSA), especially considering this was the first major health crisis since founding of WHO. </w:t>
      </w:r>
    </w:p>
    <w:p w14:paraId="40E6AF78" w14:textId="77777777" w:rsidR="00C95ADD" w:rsidRPr="00062E2E" w:rsidRDefault="00C95ADD" w:rsidP="00C95ADD">
      <w:pPr>
        <w:rPr>
          <w:rFonts w:cstheme="minorHAnsi"/>
          <w:b/>
          <w:bCs/>
          <w:i/>
          <w:iCs/>
          <w:sz w:val="32"/>
          <w:szCs w:val="32"/>
          <w:lang w:val="en-US"/>
        </w:rPr>
      </w:pPr>
    </w:p>
    <w:sectPr w:rsidR="00C95ADD" w:rsidRPr="00062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E"/>
    <w:rsid w:val="00062E2E"/>
    <w:rsid w:val="007C6483"/>
    <w:rsid w:val="00C95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3A9"/>
  <w15:chartTrackingRefBased/>
  <w15:docId w15:val="{EED26189-042A-4ABD-9D88-58D67F1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2021-04-10T08:25:00Z</dcterms:created>
  <dcterms:modified xsi:type="dcterms:W3CDTF">2021-04-10T08:44:00Z</dcterms:modified>
</cp:coreProperties>
</file>