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064" w14:textId="7B4D5B71" w:rsidR="002E4EF1" w:rsidRDefault="00000000">
      <w:pPr>
        <w:pStyle w:val="Heading1"/>
      </w:pPr>
      <w:r>
        <w:t>Agent-D: Legal Concerns, Risks and Mitigations</w:t>
      </w:r>
    </w:p>
    <w:p w14:paraId="5292E065" w14:textId="77777777" w:rsidR="002E4EF1" w:rsidRDefault="00000000">
      <w:r>
        <w:t>Prepared October 23, 2026 · For discussion between the developer and the clinic · This is a working document, not legal advice, and it must be reviewed by qualified counsel before any decision is made on it.</w:t>
      </w:r>
    </w:p>
    <w:p w14:paraId="5292E066" w14:textId="449CB8E1" w:rsidR="002E4EF1" w:rsidRDefault="00000000">
      <w:pPr>
        <w:pStyle w:val="Heading2"/>
      </w:pPr>
      <w:r>
        <w:t>1. Purpose and status</w:t>
      </w:r>
    </w:p>
    <w:p w14:paraId="5292E067" w14:textId="77777777" w:rsidR="002E4EF1" w:rsidRDefault="00000000">
      <w:r>
        <w:t>Agent-D is a local desktop assistant used by a doctor in a consulting clinic. It keeps a doctor-curated context artifact per patient, supports consultations and visits, tickets and reminders, and offers a chat Copilot that uses a cloud language model (Gemini) to help with briefs and proposals. Every change the assistant suggests goes through a doctor-approval step.</w:t>
      </w:r>
    </w:p>
    <w:p w14:paraId="5292E068" w14:textId="77777777" w:rsidR="002E4EF1" w:rsidRDefault="00000000">
      <w:r>
        <w:t>The clinic wants to use AI in the workflow with real patients. This document lists the legal and regulatory concerns that follow from that, why each one matters, and the fixes or workarounds available. It is meant to prepare a productive conversation with a lawyer, not to replace one.</w:t>
      </w:r>
    </w:p>
    <w:p w14:paraId="5292E069" w14:textId="77777777" w:rsidR="002E4EF1" w:rsidRDefault="00000000">
      <w:pPr>
        <w:pStyle w:val="Heading2"/>
      </w:pPr>
      <w:r>
        <w:t>2. Summary of the main concerns</w:t>
      </w:r>
    </w:p>
    <w:p w14:paraId="5292E06A" w14:textId="77777777" w:rsidR="002E4EF1" w:rsidRDefault="00000000">
      <w:pPr>
        <w:pStyle w:val="ListParagraph"/>
        <w:numPr>
          <w:ilvl w:val="0"/>
          <w:numId w:val="2"/>
        </w:numPr>
      </w:pPr>
      <w:r>
        <w:t xml:space="preserve">Consultation and visit content </w:t>
      </w:r>
      <w:proofErr w:type="gramStart"/>
      <w:r>
        <w:t>is</w:t>
      </w:r>
      <w:proofErr w:type="gramEnd"/>
      <w:r>
        <w:t xml:space="preserve"> health data, and it is sent to a cloud AI provider. That needs a lawful basis, patient consent, a processor arrangement, and a decision about cross-border transfer.</w:t>
      </w:r>
    </w:p>
    <w:p w14:paraId="5292E06B" w14:textId="77777777" w:rsidR="002E4EF1" w:rsidRDefault="00000000">
      <w:pPr>
        <w:pStyle w:val="ListParagraph"/>
        <w:numPr>
          <w:ilvl w:val="0"/>
          <w:numId w:val="2"/>
        </w:numPr>
      </w:pPr>
      <w:r>
        <w:t>Free-tier Gemini keys let the provider use submitted content to improve its products and allow human review. They must not be used with real patient data. The developer is switching the guide to paid keys.</w:t>
      </w:r>
    </w:p>
    <w:p w14:paraId="5292E06C" w14:textId="77777777" w:rsidR="002E4EF1" w:rsidRDefault="00000000">
      <w:pPr>
        <w:pStyle w:val="ListParagraph"/>
        <w:numPr>
          <w:ilvl w:val="0"/>
          <w:numId w:val="2"/>
        </w:numPr>
      </w:pPr>
      <w:r>
        <w:t>Narrowing the Copilot to consultations and visits reduces exposure but does not change the legal category: it is still sensitive health information.</w:t>
      </w:r>
    </w:p>
    <w:p w14:paraId="5292E06D" w14:textId="77777777" w:rsidR="002E4EF1" w:rsidRDefault="00000000">
      <w:pPr>
        <w:pStyle w:val="ListParagraph"/>
        <w:numPr>
          <w:ilvl w:val="0"/>
          <w:numId w:val="2"/>
        </w:numPr>
      </w:pPr>
      <w:r>
        <w:t>Two legal regimes matter on different dates: the older IT Act framework applies now, and the DPDP Act and Rules become fully operational around May 2027.</w:t>
      </w:r>
    </w:p>
    <w:p w14:paraId="5292E06E" w14:textId="77777777" w:rsidR="002E4EF1" w:rsidRDefault="00000000">
      <w:pPr>
        <w:pStyle w:val="ListParagraph"/>
        <w:numPr>
          <w:ilvl w:val="0"/>
          <w:numId w:val="2"/>
        </w:numPr>
      </w:pPr>
      <w:r>
        <w:t>Patients need clear notice and consent, including a way to withdraw, and special handling for children and persons with disabilities.</w:t>
      </w:r>
    </w:p>
    <w:p w14:paraId="5292E06F" w14:textId="77777777" w:rsidR="002E4EF1" w:rsidRDefault="00000000">
      <w:pPr>
        <w:pStyle w:val="ListParagraph"/>
        <w:numPr>
          <w:ilvl w:val="0"/>
          <w:numId w:val="2"/>
        </w:numPr>
      </w:pPr>
      <w:r>
        <w:t>Security safeguards, breach response, retention, and erasure obligations need to be designed in now.</w:t>
      </w:r>
    </w:p>
    <w:p w14:paraId="5292E070" w14:textId="77777777" w:rsidR="002E4EF1" w:rsidRDefault="00000000">
      <w:pPr>
        <w:pStyle w:val="ListParagraph"/>
        <w:numPr>
          <w:ilvl w:val="0"/>
          <w:numId w:val="2"/>
        </w:numPr>
      </w:pPr>
      <w:r>
        <w:t>Professional confidentiality duties, clinical accountability, possible medical-device classification, contracts, and insurance all need an explicit answer.</w:t>
      </w:r>
    </w:p>
    <w:p w14:paraId="5292E071" w14:textId="77777777" w:rsidR="002E4EF1" w:rsidRDefault="00000000">
      <w:pPr>
        <w:pStyle w:val="Heading2"/>
      </w:pPr>
      <w:r>
        <w:t>3. What data goes where</w:t>
      </w:r>
    </w:p>
    <w:p w14:paraId="5292E072" w14:textId="77777777" w:rsidR="002E4EF1" w:rsidRDefault="00000000">
      <w:pPr>
        <w:pStyle w:val="Heading3"/>
      </w:pPr>
      <w:r>
        <w:t>3.1 Current design (v0.4.0)</w:t>
      </w:r>
    </w:p>
    <w:p w14:paraId="5292E073" w14:textId="77777777" w:rsidR="002E4EF1" w:rsidRDefault="00000000">
      <w:pPr>
        <w:pStyle w:val="ListParagraph"/>
        <w:numPr>
          <w:ilvl w:val="0"/>
          <w:numId w:val="3"/>
        </w:numPr>
      </w:pPr>
      <w:r>
        <w:t>Everything is stored locally in an encrypted database on the clinic computer.</w:t>
      </w:r>
    </w:p>
    <w:p w14:paraId="5292E074" w14:textId="77777777" w:rsidR="002E4EF1" w:rsidRDefault="00000000">
      <w:pPr>
        <w:pStyle w:val="ListParagraph"/>
        <w:numPr>
          <w:ilvl w:val="0"/>
          <w:numId w:val="3"/>
        </w:numPr>
      </w:pPr>
      <w:r>
        <w:t>Legal names, phone numbers, and emails are replaced with an alias before prompts are built.</w:t>
      </w:r>
    </w:p>
    <w:p w14:paraId="5292E075" w14:textId="77777777" w:rsidR="002E4EF1" w:rsidRDefault="00000000">
      <w:pPr>
        <w:pStyle w:val="ListParagraph"/>
        <w:numPr>
          <w:ilvl w:val="0"/>
          <w:numId w:val="3"/>
        </w:numPr>
      </w:pPr>
      <w:r>
        <w:t>Each Copilot turn can include the patient's context artifact (diagnoses, medications, watch-for items), recent vitals, open tickets, and today's schedule.</w:t>
      </w:r>
    </w:p>
    <w:p w14:paraId="5292E076" w14:textId="77777777" w:rsidR="002E4EF1" w:rsidRDefault="00000000">
      <w:pPr>
        <w:pStyle w:val="ListParagraph"/>
        <w:numPr>
          <w:ilvl w:val="0"/>
          <w:numId w:val="3"/>
        </w:numPr>
      </w:pPr>
      <w:r>
        <w:t>Prompts go to Gemini over the internet. The setup guide currently points doctors to free keys.</w:t>
      </w:r>
    </w:p>
    <w:p w14:paraId="5292E077" w14:textId="77777777" w:rsidR="002E4EF1" w:rsidRDefault="00000000">
      <w:pPr>
        <w:pStyle w:val="Heading3"/>
      </w:pPr>
      <w:r>
        <w:lastRenderedPageBreak/>
        <w:t>3.2 Planned changes</w:t>
      </w:r>
    </w:p>
    <w:p w14:paraId="5292E078" w14:textId="77777777" w:rsidR="002E4EF1" w:rsidRDefault="00000000">
      <w:pPr>
        <w:pStyle w:val="ListParagraph"/>
        <w:numPr>
          <w:ilvl w:val="0"/>
          <w:numId w:val="4"/>
        </w:numPr>
      </w:pPr>
      <w:r>
        <w:t>The Copilot will be limited to consultations and visitations, without mapping full medical records.</w:t>
      </w:r>
    </w:p>
    <w:p w14:paraId="5292E079" w14:textId="77777777" w:rsidR="002E4EF1" w:rsidRDefault="00000000">
      <w:pPr>
        <w:pStyle w:val="ListParagraph"/>
        <w:numPr>
          <w:ilvl w:val="0"/>
          <w:numId w:val="4"/>
        </w:numPr>
      </w:pPr>
      <w:r>
        <w:t>The setup guide will switch to paid API keys.</w:t>
      </w:r>
    </w:p>
    <w:p w14:paraId="5292E07A" w14:textId="77777777" w:rsidR="002E4EF1" w:rsidRDefault="00000000">
      <w:pPr>
        <w:pStyle w:val="Heading3"/>
      </w:pPr>
      <w:r>
        <w:t>3.3 What still needs to be decided</w:t>
      </w:r>
    </w:p>
    <w:p w14:paraId="5292E07B" w14:textId="77777777" w:rsidR="002E4EF1" w:rsidRDefault="00000000">
      <w:r>
        <w:t>The exact data boundary should be written down. In particular: does a visit prompt still include the artifact's diagnoses and medications? Does chat history go to the provider on every turn? Which free-text fields can contain identifiers? Every field that reaches the provider should be listed in an approved data map, because the legal analysis follows that list.</w:t>
      </w:r>
    </w:p>
    <w:p w14:paraId="5292E07C" w14:textId="77777777" w:rsidR="002E4EF1" w:rsidRDefault="00000000">
      <w:pPr>
        <w:pStyle w:val="Heading2"/>
      </w:pPr>
      <w:r>
        <w:t>4. Legal framework in play</w:t>
      </w:r>
    </w:p>
    <w:tbl>
      <w:tblPr>
        <w:tblStyle w:val="TableGrid"/>
        <w:tblW w:w="0" w:type="auto"/>
        <w:tblLayout w:type="fixed"/>
        <w:tblLook w:val="0420" w:firstRow="1" w:lastRow="0" w:firstColumn="0" w:lastColumn="0" w:noHBand="0" w:noVBand="1"/>
      </w:tblPr>
      <w:tblGrid>
        <w:gridCol w:w="1992"/>
        <w:gridCol w:w="2448"/>
        <w:gridCol w:w="4920"/>
      </w:tblGrid>
      <w:tr w:rsidR="002E4EF1" w14:paraId="5292E080" w14:textId="77777777">
        <w:trPr>
          <w:tblHeader/>
        </w:trPr>
        <w:tc>
          <w:tcPr>
            <w:tcW w:w="1992" w:type="dxa"/>
            <w:shd w:val="clear" w:color="auto" w:fill="F2F2F2"/>
          </w:tcPr>
          <w:p w14:paraId="5292E07D" w14:textId="77777777" w:rsidR="002E4EF1" w:rsidRDefault="00000000">
            <w:r>
              <w:t>Regime</w:t>
            </w:r>
          </w:p>
        </w:tc>
        <w:tc>
          <w:tcPr>
            <w:tcW w:w="2448" w:type="dxa"/>
            <w:shd w:val="clear" w:color="auto" w:fill="F2F2F2"/>
          </w:tcPr>
          <w:p w14:paraId="5292E07E" w14:textId="77777777" w:rsidR="002E4EF1" w:rsidRDefault="00000000">
            <w:r>
              <w:t>Status as of Oct 2026</w:t>
            </w:r>
          </w:p>
        </w:tc>
        <w:tc>
          <w:tcPr>
            <w:tcW w:w="4920" w:type="dxa"/>
            <w:shd w:val="clear" w:color="auto" w:fill="F2F2F2"/>
          </w:tcPr>
          <w:p w14:paraId="5292E07F" w14:textId="77777777" w:rsidR="002E4EF1" w:rsidRDefault="00000000">
            <w:r>
              <w:t>Why it matters here</w:t>
            </w:r>
          </w:p>
        </w:tc>
      </w:tr>
      <w:tr w:rsidR="002E4EF1" w14:paraId="5292E084" w14:textId="77777777">
        <w:tc>
          <w:tcPr>
            <w:tcW w:w="1992" w:type="dxa"/>
          </w:tcPr>
          <w:p w14:paraId="5292E081" w14:textId="77777777" w:rsidR="002E4EF1" w:rsidRDefault="00000000">
            <w:r>
              <w:t>IT Act 2000, Section 43A and the SPDI Rules 2011</w:t>
            </w:r>
          </w:p>
        </w:tc>
        <w:tc>
          <w:tcPr>
            <w:tcW w:w="2448" w:type="dxa"/>
          </w:tcPr>
          <w:p w14:paraId="5292E082" w14:textId="77777777" w:rsidR="002E4EF1" w:rsidRDefault="00000000">
            <w:r>
              <w:t>In force now; expected to remain until the DPDP phase-in ends</w:t>
            </w:r>
          </w:p>
        </w:tc>
        <w:tc>
          <w:tcPr>
            <w:tcW w:w="4920" w:type="dxa"/>
          </w:tcPr>
          <w:p w14:paraId="5292E083" w14:textId="77777777" w:rsidR="002E4EF1" w:rsidRDefault="00000000">
            <w:r>
              <w:t>Medical records and history are listed as sensitive personal data. A body corporate handling them needs prior consent for the purpose of use, a privacy policy, the ability for the person to review, amend, and withdraw consent, and reasonable security practices. Transfers are allowed only to parties that provide the same level of protection. Whether a particular clinic counts as a body corporate should be confirmed by counsel.</w:t>
            </w:r>
          </w:p>
        </w:tc>
      </w:tr>
      <w:tr w:rsidR="002E4EF1" w14:paraId="5292E088" w14:textId="77777777">
        <w:tc>
          <w:tcPr>
            <w:tcW w:w="1992" w:type="dxa"/>
          </w:tcPr>
          <w:p w14:paraId="5292E085" w14:textId="77777777" w:rsidR="002E4EF1" w:rsidRDefault="00000000">
            <w:r>
              <w:t>Digital Personal Data Protection Act 2023 and DPDP Rules 2025</w:t>
            </w:r>
          </w:p>
        </w:tc>
        <w:tc>
          <w:tcPr>
            <w:tcW w:w="2448" w:type="dxa"/>
          </w:tcPr>
          <w:p w14:paraId="5292E086" w14:textId="77777777" w:rsidR="002E4EF1" w:rsidRDefault="00000000">
            <w:r>
              <w:t>Rules notified in November 2025; most obligations (notice, consent, security safeguards, breach reporting, retention and erasure, children) apply 18 months after publication, around May 2027</w:t>
            </w:r>
          </w:p>
        </w:tc>
        <w:tc>
          <w:tcPr>
            <w:tcW w:w="4920" w:type="dxa"/>
          </w:tcPr>
          <w:p w14:paraId="5292E087" w14:textId="77777777" w:rsidR="002E4EF1" w:rsidRDefault="00000000">
            <w:r>
              <w:t>The clinic would be a data fiduciary. It treats all personal data uniformly, with no separate sensitive category, so health data gets the same baseline rules, with penalties up to ₹250 crore for failing to maintain reasonable security safeguards.</w:t>
            </w:r>
          </w:p>
        </w:tc>
      </w:tr>
      <w:tr w:rsidR="002E4EF1" w14:paraId="5292E08C" w14:textId="77777777">
        <w:tc>
          <w:tcPr>
            <w:tcW w:w="1992" w:type="dxa"/>
          </w:tcPr>
          <w:p w14:paraId="5292E089" w14:textId="77777777" w:rsidR="002E4EF1" w:rsidRDefault="00000000">
            <w:r>
              <w:t>Medical council rules on confidentiality and record-keeping</w:t>
            </w:r>
          </w:p>
        </w:tc>
        <w:tc>
          <w:tcPr>
            <w:tcW w:w="2448" w:type="dxa"/>
          </w:tcPr>
          <w:p w14:paraId="5292E08A" w14:textId="77777777" w:rsidR="002E4EF1" w:rsidRDefault="00000000">
            <w:r>
              <w:t>In force</w:t>
            </w:r>
          </w:p>
        </w:tc>
        <w:tc>
          <w:tcPr>
            <w:tcW w:w="4920" w:type="dxa"/>
          </w:tcPr>
          <w:p w14:paraId="5292E08B" w14:textId="77777777" w:rsidR="002E4EF1" w:rsidRDefault="00000000">
            <w:r>
              <w:t>Doctors owe patients secrecy and must keep records for prescribed periods. These duties continue regardless of the data protection laws.</w:t>
            </w:r>
          </w:p>
        </w:tc>
      </w:tr>
      <w:tr w:rsidR="002E4EF1" w14:paraId="5292E090" w14:textId="77777777">
        <w:tc>
          <w:tcPr>
            <w:tcW w:w="1992" w:type="dxa"/>
          </w:tcPr>
          <w:p w14:paraId="5292E08D" w14:textId="77777777" w:rsidR="002E4EF1" w:rsidRDefault="00000000">
            <w:r>
              <w:t>Medical device regulation (CDSCO)</w:t>
            </w:r>
          </w:p>
        </w:tc>
        <w:tc>
          <w:tcPr>
            <w:tcW w:w="2448" w:type="dxa"/>
          </w:tcPr>
          <w:p w14:paraId="5292E08E" w14:textId="77777777" w:rsidR="002E4EF1" w:rsidRDefault="00000000">
            <w:r>
              <w:t>Needs a legal view</w:t>
            </w:r>
          </w:p>
        </w:tc>
        <w:tc>
          <w:tcPr>
            <w:tcW w:w="4920" w:type="dxa"/>
          </w:tcPr>
          <w:p w14:paraId="5292E08F" w14:textId="77777777" w:rsidR="002E4EF1" w:rsidRDefault="00000000">
            <w:r>
              <w:t>Software that supports diagnosis or treatment decisions may attract device rules depending on its intended purpose and claims.</w:t>
            </w:r>
          </w:p>
        </w:tc>
      </w:tr>
      <w:tr w:rsidR="002E4EF1" w14:paraId="5292E094" w14:textId="77777777">
        <w:tc>
          <w:tcPr>
            <w:tcW w:w="1992" w:type="dxa"/>
          </w:tcPr>
          <w:p w14:paraId="5292E091" w14:textId="77777777" w:rsidR="002E4EF1" w:rsidRDefault="00000000">
            <w:r>
              <w:t xml:space="preserve">CERT-In incident </w:t>
            </w:r>
            <w:r>
              <w:lastRenderedPageBreak/>
              <w:t>reporting directions</w:t>
            </w:r>
          </w:p>
        </w:tc>
        <w:tc>
          <w:tcPr>
            <w:tcW w:w="2448" w:type="dxa"/>
          </w:tcPr>
          <w:p w14:paraId="5292E092" w14:textId="77777777" w:rsidR="002E4EF1" w:rsidRDefault="00000000">
            <w:r>
              <w:lastRenderedPageBreak/>
              <w:t>Needs a legal view</w:t>
            </w:r>
          </w:p>
        </w:tc>
        <w:tc>
          <w:tcPr>
            <w:tcW w:w="4920" w:type="dxa"/>
          </w:tcPr>
          <w:p w14:paraId="5292E093" w14:textId="77777777" w:rsidR="002E4EF1" w:rsidRDefault="00000000">
            <w:r>
              <w:t xml:space="preserve">These set short incident-reporting windows for </w:t>
            </w:r>
            <w:r>
              <w:lastRenderedPageBreak/>
              <w:t>covered entities. Whether the clinic is covered should be confirmed.</w:t>
            </w:r>
          </w:p>
        </w:tc>
      </w:tr>
    </w:tbl>
    <w:p w14:paraId="5292E095" w14:textId="77777777" w:rsidR="002E4EF1" w:rsidRDefault="00000000">
      <w:r>
        <w:lastRenderedPageBreak/>
        <w:t>Key takeaway: the DPDP deadline is not today's law for most obligations, but the IT Act and SPDI framework applies now, and building to the DPDP standard from the start avoids a retrofit.</w:t>
      </w:r>
    </w:p>
    <w:p w14:paraId="5292E096" w14:textId="77777777" w:rsidR="002E4EF1" w:rsidRDefault="00000000">
      <w:pPr>
        <w:pStyle w:val="Heading2"/>
      </w:pPr>
      <w:r>
        <w:t>5. Concerns, fixes and workarounds</w:t>
      </w:r>
    </w:p>
    <w:p w14:paraId="5292E097" w14:textId="77777777" w:rsidR="002E4EF1" w:rsidRDefault="00000000">
      <w:pPr>
        <w:pStyle w:val="Heading3"/>
      </w:pPr>
      <w:r>
        <w:t>C1. Health data sent to a cloud AI provider</w:t>
      </w:r>
    </w:p>
    <w:p w14:paraId="5292E098" w14:textId="77777777" w:rsidR="002E4EF1" w:rsidRDefault="00000000">
      <w:r>
        <w:rPr>
          <w:b/>
        </w:rPr>
        <w:t>Concern.</w:t>
      </w:r>
      <w:r>
        <w:t xml:space="preserve"> Consultation notes and visit dictation are health information. Sending them to a third-party model provider is a disclosure and a transfer. The clinic decides why and how the data is processed, which makes it the data fiduciary, and the provider becomes a processor. The clinic remains accountable for what the provider does with the data.</w:t>
      </w:r>
    </w:p>
    <w:p w14:paraId="5292E099" w14:textId="77777777" w:rsidR="002E4EF1" w:rsidRDefault="00000000">
      <w:r>
        <w:rPr>
          <w:b/>
        </w:rPr>
        <w:t>Fixes and workarounds.</w:t>
      </w:r>
    </w:p>
    <w:p w14:paraId="5292E09A" w14:textId="77777777" w:rsidR="002E4EF1" w:rsidRDefault="00000000">
      <w:pPr>
        <w:pStyle w:val="ListParagraph"/>
        <w:numPr>
          <w:ilvl w:val="0"/>
          <w:numId w:val="5"/>
        </w:numPr>
      </w:pPr>
      <w:r>
        <w:t>Use paid-tier API access only, where the provider states it does not use prompts or responses to improve its products and processes them under a Data Processing Addendum.</w:t>
      </w:r>
    </w:p>
    <w:p w14:paraId="5292E09B" w14:textId="77777777" w:rsidR="002E4EF1" w:rsidRDefault="00000000">
      <w:pPr>
        <w:pStyle w:val="ListParagraph"/>
        <w:numPr>
          <w:ilvl w:val="0"/>
          <w:numId w:val="5"/>
        </w:numPr>
      </w:pPr>
      <w:r>
        <w:t>Keep a record of the provider terms accepted on the date of adoption, and re-check them periodically because terms change.</w:t>
      </w:r>
    </w:p>
    <w:p w14:paraId="5292E09C" w14:textId="77777777" w:rsidR="002E4EF1" w:rsidRDefault="00000000">
      <w:pPr>
        <w:pStyle w:val="ListParagraph"/>
        <w:numPr>
          <w:ilvl w:val="0"/>
          <w:numId w:val="5"/>
        </w:numPr>
      </w:pPr>
      <w:proofErr w:type="spellStart"/>
      <w:r>
        <w:t>Minimise</w:t>
      </w:r>
      <w:proofErr w:type="spellEnd"/>
      <w:r>
        <w:t xml:space="preserve"> what is sent: only the fields needed for the task, with no raw medical records and no full notes where a short summary will do.</w:t>
      </w:r>
    </w:p>
    <w:p w14:paraId="5292E09D" w14:textId="77777777" w:rsidR="002E4EF1" w:rsidRDefault="00000000">
      <w:pPr>
        <w:pStyle w:val="ListParagraph"/>
        <w:numPr>
          <w:ilvl w:val="0"/>
          <w:numId w:val="5"/>
        </w:numPr>
      </w:pPr>
      <w:r>
        <w:t xml:space="preserve">Offer a local-model mode (for example </w:t>
      </w:r>
      <w:proofErr w:type="spellStart"/>
      <w:r>
        <w:t>Ollama</w:t>
      </w:r>
      <w:proofErr w:type="spellEnd"/>
      <w:r>
        <w:t>) for the most sensitive work, where nothing leaves the machine.</w:t>
      </w:r>
    </w:p>
    <w:p w14:paraId="5292E09E" w14:textId="77777777" w:rsidR="002E4EF1" w:rsidRDefault="00000000">
      <w:pPr>
        <w:pStyle w:val="ListParagraph"/>
        <w:numPr>
          <w:ilvl w:val="0"/>
          <w:numId w:val="5"/>
        </w:numPr>
      </w:pPr>
      <w:r>
        <w:t>Keep an audit log of exactly what was sent, so the clinic can answer a patient or a regulator.</w:t>
      </w:r>
    </w:p>
    <w:p w14:paraId="5292E09F" w14:textId="77777777" w:rsidR="002E4EF1" w:rsidRDefault="00000000">
      <w:pPr>
        <w:pStyle w:val="Heading3"/>
      </w:pPr>
      <w:r>
        <w:t>C2. Free-tier API keys</w:t>
      </w:r>
    </w:p>
    <w:p w14:paraId="5292E0A0" w14:textId="77777777" w:rsidR="002E4EF1" w:rsidRDefault="00000000">
      <w:r>
        <w:rPr>
          <w:b/>
        </w:rPr>
        <w:t>Concern.</w:t>
      </w:r>
      <w:r>
        <w:t xml:space="preserve"> Under the provider's terms, unpaid usage allows the provider to use submitted content and generated responses to improve its products, and human reviewers may read inputs and outputs. That is incompatible with real patient data. Rotating several free keys to stretch quota also invites terms-of-service problems.</w:t>
      </w:r>
    </w:p>
    <w:p w14:paraId="5292E0A1" w14:textId="77777777" w:rsidR="002E4EF1" w:rsidRDefault="00000000">
      <w:r>
        <w:rPr>
          <w:b/>
        </w:rPr>
        <w:t>Fixes.</w:t>
      </w:r>
    </w:p>
    <w:p w14:paraId="5292E0A2" w14:textId="77777777" w:rsidR="002E4EF1" w:rsidRDefault="00000000">
      <w:pPr>
        <w:pStyle w:val="ListParagraph"/>
        <w:numPr>
          <w:ilvl w:val="0"/>
          <w:numId w:val="6"/>
        </w:numPr>
      </w:pPr>
      <w:r>
        <w:t>Switch the guide to paid keys, as planned, and remove advice about stacking free keys.</w:t>
      </w:r>
    </w:p>
    <w:p w14:paraId="5292E0A3" w14:textId="77777777" w:rsidR="002E4EF1" w:rsidRDefault="00000000">
      <w:pPr>
        <w:pStyle w:val="ListParagraph"/>
        <w:numPr>
          <w:ilvl w:val="0"/>
          <w:numId w:val="6"/>
        </w:numPr>
      </w:pPr>
      <w:r>
        <w:t>Add an in-app block: if a key is detected as free tier, or its status cannot be verified, real-patient mode is disabled.</w:t>
      </w:r>
    </w:p>
    <w:p w14:paraId="5292E0A4" w14:textId="77777777" w:rsidR="002E4EF1" w:rsidRDefault="00000000">
      <w:pPr>
        <w:pStyle w:val="ListParagraph"/>
        <w:numPr>
          <w:ilvl w:val="0"/>
          <w:numId w:val="6"/>
        </w:numPr>
      </w:pPr>
      <w:r>
        <w:t>Show the active data mode (paid cloud, local, or demo with synthetic data) in the Copilot header.</w:t>
      </w:r>
    </w:p>
    <w:p w14:paraId="5292E0A5" w14:textId="77777777" w:rsidR="002E4EF1" w:rsidRDefault="00000000">
      <w:pPr>
        <w:pStyle w:val="Heading3"/>
      </w:pPr>
      <w:r>
        <w:t>C3. Patient notice and consent</w:t>
      </w:r>
    </w:p>
    <w:p w14:paraId="5292E0A6" w14:textId="77777777" w:rsidR="002E4EF1" w:rsidRDefault="00000000">
      <w:r>
        <w:rPr>
          <w:b/>
        </w:rPr>
        <w:t>Concern.</w:t>
      </w:r>
      <w:r>
        <w:t xml:space="preserve"> Both the current and the coming framework </w:t>
      </w:r>
      <w:proofErr w:type="spellStart"/>
      <w:r>
        <w:t>centre</w:t>
      </w:r>
      <w:proofErr w:type="spellEnd"/>
      <w:r>
        <w:t xml:space="preserve"> on informed, purpose-specific consent. Consent bundled into a general registration form is risky. Patients should know that an AI assistant is used, what data it sees, and who processes it.</w:t>
      </w:r>
    </w:p>
    <w:p w14:paraId="5292E0A7" w14:textId="77777777" w:rsidR="002E4EF1" w:rsidRDefault="00000000">
      <w:r>
        <w:rPr>
          <w:b/>
        </w:rPr>
        <w:lastRenderedPageBreak/>
        <w:t>Fixes.</w:t>
      </w:r>
    </w:p>
    <w:p w14:paraId="5292E0A8" w14:textId="77777777" w:rsidR="002E4EF1" w:rsidRDefault="00000000">
      <w:pPr>
        <w:pStyle w:val="ListParagraph"/>
        <w:numPr>
          <w:ilvl w:val="0"/>
          <w:numId w:val="7"/>
        </w:numPr>
      </w:pPr>
      <w:r>
        <w:t>A short, plain-language notice at registration, in the languages the clinic's patients use, stating the purpose, that de-identified consultation content is processed by a cloud provider, and how to withdraw.</w:t>
      </w:r>
    </w:p>
    <w:p w14:paraId="5292E0A9" w14:textId="77777777" w:rsidR="002E4EF1" w:rsidRDefault="00000000">
      <w:pPr>
        <w:pStyle w:val="ListParagraph"/>
        <w:numPr>
          <w:ilvl w:val="0"/>
          <w:numId w:val="7"/>
        </w:numPr>
      </w:pPr>
      <w:r>
        <w:t>Record consent in the patient record with a timestamp and the notice version.</w:t>
      </w:r>
    </w:p>
    <w:p w14:paraId="5292E0AA" w14:textId="77777777" w:rsidR="002E4EF1" w:rsidRDefault="00000000">
      <w:pPr>
        <w:pStyle w:val="ListParagraph"/>
        <w:numPr>
          <w:ilvl w:val="0"/>
          <w:numId w:val="7"/>
        </w:numPr>
      </w:pPr>
      <w:r>
        <w:t>Make AI processing a separate, optional choice. A patient who declines is still treated; the Copilot simply stays off for that patient.</w:t>
      </w:r>
    </w:p>
    <w:p w14:paraId="5292E0AB" w14:textId="77777777" w:rsidR="002E4EF1" w:rsidRDefault="00000000">
      <w:pPr>
        <w:pStyle w:val="ListParagraph"/>
        <w:numPr>
          <w:ilvl w:val="0"/>
          <w:numId w:val="7"/>
        </w:numPr>
      </w:pPr>
      <w:r>
        <w:t>Provide a named contact for questions, complaints, and withdrawal.</w:t>
      </w:r>
    </w:p>
    <w:p w14:paraId="5292E0AC" w14:textId="77777777" w:rsidR="002E4EF1" w:rsidRDefault="00000000">
      <w:pPr>
        <w:pStyle w:val="Heading3"/>
      </w:pPr>
      <w:r>
        <w:t>C4. Narrowing scope does not change the category</w:t>
      </w:r>
    </w:p>
    <w:p w14:paraId="5292E0AD" w14:textId="77777777" w:rsidR="002E4EF1" w:rsidRDefault="00000000">
      <w:r>
        <w:rPr>
          <w:b/>
        </w:rPr>
        <w:t>Concern.</w:t>
      </w:r>
      <w:r>
        <w:t xml:space="preserve"> Restricting the Copilot to consultations and visits is good data </w:t>
      </w:r>
      <w:proofErr w:type="spellStart"/>
      <w:r>
        <w:t>minimisation</w:t>
      </w:r>
      <w:proofErr w:type="spellEnd"/>
      <w:r>
        <w:t>, but consultation content is still health information. It lowers volume and risk; it does not remove the need for consent, safeguards, or a processor arrangement.</w:t>
      </w:r>
    </w:p>
    <w:p w14:paraId="5292E0AE" w14:textId="77777777" w:rsidR="002E4EF1" w:rsidRDefault="00000000">
      <w:r>
        <w:rPr>
          <w:b/>
        </w:rPr>
        <w:t>Fixes.</w:t>
      </w:r>
    </w:p>
    <w:p w14:paraId="5292E0AF" w14:textId="77777777" w:rsidR="002E4EF1" w:rsidRDefault="00000000">
      <w:pPr>
        <w:pStyle w:val="ListParagraph"/>
        <w:numPr>
          <w:ilvl w:val="0"/>
          <w:numId w:val="8"/>
        </w:numPr>
      </w:pPr>
      <w:r>
        <w:t>Treat the narrowing as a risk reducer in the data map, not as an exemption.</w:t>
      </w:r>
    </w:p>
    <w:p w14:paraId="5292E0B0" w14:textId="77777777" w:rsidR="002E4EF1" w:rsidRDefault="00000000">
      <w:pPr>
        <w:pStyle w:val="ListParagraph"/>
        <w:numPr>
          <w:ilvl w:val="0"/>
          <w:numId w:val="8"/>
        </w:numPr>
      </w:pPr>
      <w:r>
        <w:t>Define allowed Copilot inputs in code (an allowlist of fields), so the boundary is enforced technically and not by convention.</w:t>
      </w:r>
    </w:p>
    <w:p w14:paraId="5292E0B1" w14:textId="77777777" w:rsidR="002E4EF1" w:rsidRDefault="00000000">
      <w:pPr>
        <w:pStyle w:val="ListParagraph"/>
        <w:numPr>
          <w:ilvl w:val="0"/>
          <w:numId w:val="8"/>
        </w:numPr>
      </w:pPr>
      <w:r>
        <w:t>Test that medical-record content cannot reach the prompt through any path, including chat history and attachments.</w:t>
      </w:r>
    </w:p>
    <w:p w14:paraId="5292E0B2" w14:textId="77777777" w:rsidR="002E4EF1" w:rsidRDefault="00000000">
      <w:pPr>
        <w:pStyle w:val="Heading3"/>
      </w:pPr>
      <w:r>
        <w:t>C5. De-identification limits and public claims</w:t>
      </w:r>
    </w:p>
    <w:p w14:paraId="5292E0B3" w14:textId="77777777" w:rsidR="002E4EF1" w:rsidRDefault="00000000">
      <w:r>
        <w:rPr>
          <w:b/>
        </w:rPr>
        <w:t>Concern.</w:t>
      </w:r>
      <w:r>
        <w:t xml:space="preserve"> Replacing names, phones, and emails with an alias protects structured fields, but doctors can type names, locations, or unusual details into free text. Phrases such as "zero cloud PII" or "compliant" could be treated as misleading if they overstate what the system does.</w:t>
      </w:r>
    </w:p>
    <w:p w14:paraId="5292E0B4" w14:textId="77777777" w:rsidR="002E4EF1" w:rsidRDefault="00000000">
      <w:r>
        <w:rPr>
          <w:b/>
        </w:rPr>
        <w:t>Fixes.</w:t>
      </w:r>
    </w:p>
    <w:p w14:paraId="5292E0B5" w14:textId="77777777" w:rsidR="002E4EF1" w:rsidRDefault="00000000">
      <w:pPr>
        <w:pStyle w:val="ListParagraph"/>
        <w:numPr>
          <w:ilvl w:val="0"/>
          <w:numId w:val="9"/>
        </w:numPr>
      </w:pPr>
      <w:r>
        <w:t>Describe the protection precisely: legal name, phone, and email are not sent to the provider.</w:t>
      </w:r>
    </w:p>
    <w:p w14:paraId="5292E0B6" w14:textId="77777777" w:rsidR="002E4EF1" w:rsidRDefault="00000000">
      <w:pPr>
        <w:pStyle w:val="ListParagraph"/>
        <w:numPr>
          <w:ilvl w:val="0"/>
          <w:numId w:val="9"/>
        </w:numPr>
      </w:pPr>
      <w:r>
        <w:t>Add a pre-send scrubber or warning for free-text fields.</w:t>
      </w:r>
    </w:p>
    <w:p w14:paraId="5292E0B7" w14:textId="77777777" w:rsidR="002E4EF1" w:rsidRDefault="00000000">
      <w:pPr>
        <w:pStyle w:val="ListParagraph"/>
        <w:numPr>
          <w:ilvl w:val="0"/>
          <w:numId w:val="9"/>
        </w:numPr>
      </w:pPr>
      <w:r>
        <w:t>Remove absolute claims from the app, the landing page, and any clinic materials, and avoid "compliant", "HIPAA-ready", or similar labels unless counsel has confirmed them.</w:t>
      </w:r>
    </w:p>
    <w:p w14:paraId="5292E0B8" w14:textId="77777777" w:rsidR="002E4EF1" w:rsidRDefault="00000000">
      <w:pPr>
        <w:pStyle w:val="Heading3"/>
      </w:pPr>
      <w:r>
        <w:t>C6. Security safeguards and breach response</w:t>
      </w:r>
    </w:p>
    <w:p w14:paraId="5292E0B9" w14:textId="77777777" w:rsidR="002E4EF1" w:rsidRDefault="00000000">
      <w:r>
        <w:rPr>
          <w:b/>
        </w:rPr>
        <w:t>Concern.</w:t>
      </w:r>
      <w:r>
        <w:t xml:space="preserve"> Failure to maintain reasonable security safeguards carries the heaviest penalties under the DPDP framework, and the current framework also requires reasonable security practices. Breach reporting is expected within tight deadlines. A lost or stolen clinic computer is the most realistic incident.</w:t>
      </w:r>
    </w:p>
    <w:p w14:paraId="5292E0BA" w14:textId="77777777" w:rsidR="002E4EF1" w:rsidRDefault="00000000">
      <w:r>
        <w:rPr>
          <w:b/>
        </w:rPr>
        <w:t>Fixes.</w:t>
      </w:r>
    </w:p>
    <w:p w14:paraId="5292E0BB" w14:textId="77777777" w:rsidR="002E4EF1" w:rsidRDefault="00000000">
      <w:pPr>
        <w:pStyle w:val="ListParagraph"/>
        <w:numPr>
          <w:ilvl w:val="0"/>
          <w:numId w:val="10"/>
        </w:numPr>
      </w:pPr>
      <w:r>
        <w:t>Strengthen the vault design: use the OS keychain or an optional doctor passphrase, and define a recovery path, because a purely machine-bound key can make backups unreadable after hardware failure.</w:t>
      </w:r>
    </w:p>
    <w:p w14:paraId="5292E0BC" w14:textId="77777777" w:rsidR="002E4EF1" w:rsidRDefault="00000000">
      <w:pPr>
        <w:pStyle w:val="ListParagraph"/>
        <w:numPr>
          <w:ilvl w:val="0"/>
          <w:numId w:val="10"/>
        </w:numPr>
      </w:pPr>
      <w:r>
        <w:lastRenderedPageBreak/>
        <w:t>Consider whole-database encryption or an explicit decision on which metadata is stored unencrypted.</w:t>
      </w:r>
    </w:p>
    <w:p w14:paraId="5292E0BD" w14:textId="77777777" w:rsidR="002E4EF1" w:rsidRDefault="00000000">
      <w:pPr>
        <w:pStyle w:val="ListParagraph"/>
        <w:numPr>
          <w:ilvl w:val="0"/>
          <w:numId w:val="10"/>
        </w:numPr>
      </w:pPr>
      <w:r>
        <w:t>Require a separate OS account, screen lock, and disk encryption on the clinic computer.</w:t>
      </w:r>
    </w:p>
    <w:p w14:paraId="5292E0BE" w14:textId="77777777" w:rsidR="002E4EF1" w:rsidRDefault="00000000">
      <w:pPr>
        <w:pStyle w:val="ListParagraph"/>
        <w:numPr>
          <w:ilvl w:val="0"/>
          <w:numId w:val="10"/>
        </w:numPr>
      </w:pPr>
      <w:r>
        <w:t>Encrypted, tested backups.</w:t>
      </w:r>
    </w:p>
    <w:p w14:paraId="5292E0BF" w14:textId="77777777" w:rsidR="002E4EF1" w:rsidRDefault="00000000">
      <w:pPr>
        <w:pStyle w:val="ListParagraph"/>
        <w:numPr>
          <w:ilvl w:val="0"/>
          <w:numId w:val="10"/>
        </w:numPr>
      </w:pPr>
      <w:r>
        <w:t>A one-page breach response plan: who decides, who is notified, how patients are told, and the timelines that apply.</w:t>
      </w:r>
    </w:p>
    <w:p w14:paraId="5292E0C0" w14:textId="77777777" w:rsidR="002E4EF1" w:rsidRDefault="00000000">
      <w:pPr>
        <w:pStyle w:val="ListParagraph"/>
        <w:numPr>
          <w:ilvl w:val="0"/>
          <w:numId w:val="10"/>
        </w:numPr>
      </w:pPr>
      <w:r>
        <w:t>Keep audit logs for the period the rules require, and record access to patient data.</w:t>
      </w:r>
    </w:p>
    <w:p w14:paraId="5292E0C1" w14:textId="77777777" w:rsidR="002E4EF1" w:rsidRDefault="00000000">
      <w:pPr>
        <w:pStyle w:val="Heading3"/>
      </w:pPr>
      <w:r>
        <w:t>C7. Retention, erasure, access, and correction</w:t>
      </w:r>
    </w:p>
    <w:p w14:paraId="5292E0C2" w14:textId="77777777" w:rsidR="002E4EF1" w:rsidRDefault="00000000">
      <w:r>
        <w:rPr>
          <w:b/>
        </w:rPr>
        <w:t>Concern.</w:t>
      </w:r>
      <w:r>
        <w:t xml:space="preserve"> Patients can ask to see, correct, or erase their data, while medical record rules require the doctor to keep certain records for a minimum period. The two must be reconciled. The DPDP Rules also provide for erasure when the purpose ends, with advance notice before erasure.</w:t>
      </w:r>
    </w:p>
    <w:p w14:paraId="5292E0C3" w14:textId="77777777" w:rsidR="002E4EF1" w:rsidRDefault="00000000">
      <w:r>
        <w:rPr>
          <w:b/>
        </w:rPr>
        <w:t>Fixes.</w:t>
      </w:r>
    </w:p>
    <w:p w14:paraId="5292E0C4" w14:textId="77777777" w:rsidR="002E4EF1" w:rsidRDefault="00000000">
      <w:pPr>
        <w:pStyle w:val="ListParagraph"/>
        <w:numPr>
          <w:ilvl w:val="0"/>
          <w:numId w:val="11"/>
        </w:numPr>
      </w:pPr>
      <w:r>
        <w:t>Add per-patient retention settings and an erasure workflow that distinguishes AI-side data (chat history, prompt logs, generated proposals) from the clinical record the doctor must retain.</w:t>
      </w:r>
    </w:p>
    <w:p w14:paraId="5292E0C5" w14:textId="77777777" w:rsidR="002E4EF1" w:rsidRDefault="00000000">
      <w:pPr>
        <w:pStyle w:val="ListParagraph"/>
        <w:numPr>
          <w:ilvl w:val="0"/>
          <w:numId w:val="11"/>
        </w:numPr>
      </w:pPr>
      <w:r>
        <w:t>Delete AI chat sessions and prompt logs on a schedule the clinic approves.</w:t>
      </w:r>
    </w:p>
    <w:p w14:paraId="5292E0C6" w14:textId="77777777" w:rsidR="002E4EF1" w:rsidRDefault="00000000">
      <w:pPr>
        <w:pStyle w:val="ListParagraph"/>
        <w:numPr>
          <w:ilvl w:val="0"/>
          <w:numId w:val="11"/>
        </w:numPr>
      </w:pPr>
      <w:r>
        <w:t>Let patients obtain a copy of their data on request, and make corrections traceable through the existing version history.</w:t>
      </w:r>
    </w:p>
    <w:p w14:paraId="5292E0C7" w14:textId="77777777" w:rsidR="002E4EF1" w:rsidRDefault="00000000">
      <w:pPr>
        <w:pStyle w:val="ListParagraph"/>
        <w:numPr>
          <w:ilvl w:val="0"/>
          <w:numId w:val="11"/>
        </w:numPr>
      </w:pPr>
      <w:r>
        <w:t>Have counsel confirm the retention periods that apply to the clinic's records.</w:t>
      </w:r>
    </w:p>
    <w:p w14:paraId="5292E0C8" w14:textId="77777777" w:rsidR="002E4EF1" w:rsidRDefault="00000000">
      <w:pPr>
        <w:pStyle w:val="Heading3"/>
      </w:pPr>
      <w:r>
        <w:t>C8. Children and persons with disabilities</w:t>
      </w:r>
    </w:p>
    <w:p w14:paraId="5292E0C9" w14:textId="77777777" w:rsidR="002E4EF1" w:rsidRDefault="00000000">
      <w:r>
        <w:rPr>
          <w:b/>
        </w:rPr>
        <w:t>Concern.</w:t>
      </w:r>
      <w:r>
        <w:t xml:space="preserve"> The DPDP Rules require verifiable parental consent for children's data and special consent arrangements for persons with disabilities. A consulting clinic is likely to see both groups.</w:t>
      </w:r>
    </w:p>
    <w:p w14:paraId="5292E0CA" w14:textId="77777777" w:rsidR="002E4EF1" w:rsidRDefault="00000000">
      <w:r>
        <w:rPr>
          <w:b/>
        </w:rPr>
        <w:t>Fixes.</w:t>
      </w:r>
    </w:p>
    <w:p w14:paraId="5292E0CB" w14:textId="77777777" w:rsidR="002E4EF1" w:rsidRDefault="00000000">
      <w:pPr>
        <w:pStyle w:val="ListParagraph"/>
        <w:numPr>
          <w:ilvl w:val="0"/>
          <w:numId w:val="12"/>
        </w:numPr>
      </w:pPr>
      <w:r>
        <w:t>Add a flag for patients under 18 or under guardianship, and keep AI processing off for them by default until the consent route is defined with counsel.</w:t>
      </w:r>
    </w:p>
    <w:p w14:paraId="5292E0CC" w14:textId="77777777" w:rsidR="002E4EF1" w:rsidRDefault="00000000">
      <w:pPr>
        <w:pStyle w:val="ListParagraph"/>
        <w:numPr>
          <w:ilvl w:val="0"/>
          <w:numId w:val="12"/>
        </w:numPr>
      </w:pPr>
      <w:r>
        <w:t>Record who gave consent on the patient's behalf and how it was verified.</w:t>
      </w:r>
    </w:p>
    <w:p w14:paraId="5292E0CD" w14:textId="77777777" w:rsidR="002E4EF1" w:rsidRDefault="00000000">
      <w:pPr>
        <w:pStyle w:val="Heading3"/>
      </w:pPr>
      <w:r>
        <w:t>C9. Professional confidentiality and clinical accountability</w:t>
      </w:r>
    </w:p>
    <w:p w14:paraId="5292E0CE" w14:textId="77777777" w:rsidR="002E4EF1" w:rsidRDefault="00000000">
      <w:r>
        <w:rPr>
          <w:b/>
        </w:rPr>
        <w:t>Concern.</w:t>
      </w:r>
      <w:r>
        <w:t xml:space="preserve"> Doctors owe patients confidentiality, and clinical responsibility remains with the doctor even when an assistant suggests something. Using an AI service to process consultation content could be questioned as a disclosure if consent and safeguards are weak. Reliance on an incorrect or incomplete suggestion is also a professional risk.</w:t>
      </w:r>
    </w:p>
    <w:p w14:paraId="5292E0CF" w14:textId="77777777" w:rsidR="002E4EF1" w:rsidRDefault="00000000">
      <w:r>
        <w:rPr>
          <w:b/>
        </w:rPr>
        <w:t>Fixes.</w:t>
      </w:r>
    </w:p>
    <w:p w14:paraId="5292E0D0" w14:textId="77777777" w:rsidR="002E4EF1" w:rsidRDefault="00000000">
      <w:pPr>
        <w:pStyle w:val="ListParagraph"/>
        <w:numPr>
          <w:ilvl w:val="0"/>
          <w:numId w:val="13"/>
        </w:numPr>
      </w:pPr>
      <w:r>
        <w:t>Keep the approval gate as a hard rule: the assistant may only propose, the doctor decides, and every accepted change is attributed in the audit trail.</w:t>
      </w:r>
    </w:p>
    <w:p w14:paraId="5292E0D1" w14:textId="77777777" w:rsidR="002E4EF1" w:rsidRDefault="00000000">
      <w:pPr>
        <w:pStyle w:val="ListParagraph"/>
        <w:numPr>
          <w:ilvl w:val="0"/>
          <w:numId w:val="13"/>
        </w:numPr>
      </w:pPr>
      <w:r>
        <w:t>Label outputs as decision support and make clear when suggestions may be incomplete, especially for the rule-based proposal synthesizer, which only detects the terms it was written for.</w:t>
      </w:r>
    </w:p>
    <w:p w14:paraId="5292E0D2" w14:textId="77777777" w:rsidR="002E4EF1" w:rsidRDefault="00000000">
      <w:pPr>
        <w:pStyle w:val="ListParagraph"/>
        <w:numPr>
          <w:ilvl w:val="0"/>
          <w:numId w:val="13"/>
        </w:numPr>
      </w:pPr>
      <w:r>
        <w:lastRenderedPageBreak/>
        <w:t>Mark any output produced by the offline template engine so it is never mistaken for model reasoning.</w:t>
      </w:r>
    </w:p>
    <w:p w14:paraId="5292E0D3" w14:textId="77777777" w:rsidR="002E4EF1" w:rsidRDefault="00000000">
      <w:pPr>
        <w:pStyle w:val="ListParagraph"/>
        <w:numPr>
          <w:ilvl w:val="0"/>
          <w:numId w:val="13"/>
        </w:numPr>
      </w:pPr>
      <w:r>
        <w:t>Ask the relevant medical council or the clinic's professional body for guidance on AI use if available.</w:t>
      </w:r>
    </w:p>
    <w:p w14:paraId="5292E0D4" w14:textId="77777777" w:rsidR="002E4EF1" w:rsidRDefault="00000000">
      <w:pPr>
        <w:pStyle w:val="Heading3"/>
      </w:pPr>
      <w:r>
        <w:t>C10. Possible medical-device classification</w:t>
      </w:r>
    </w:p>
    <w:p w14:paraId="5292E0D5" w14:textId="77777777" w:rsidR="002E4EF1" w:rsidRDefault="00000000">
      <w:r>
        <w:rPr>
          <w:b/>
        </w:rPr>
        <w:t>Concern.</w:t>
      </w:r>
      <w:r>
        <w:t xml:space="preserve"> Software that analyses clinical data to support diagnosis or treatment decisions can fall under medical device regulation depending on its intended purpose and marketing claims.</w:t>
      </w:r>
    </w:p>
    <w:p w14:paraId="5292E0D6" w14:textId="77777777" w:rsidR="002E4EF1" w:rsidRDefault="00000000">
      <w:r>
        <w:rPr>
          <w:b/>
        </w:rPr>
        <w:t>Fixes.</w:t>
      </w:r>
    </w:p>
    <w:p w14:paraId="5292E0D7" w14:textId="77777777" w:rsidR="002E4EF1" w:rsidRDefault="00000000">
      <w:pPr>
        <w:pStyle w:val="ListParagraph"/>
        <w:numPr>
          <w:ilvl w:val="0"/>
          <w:numId w:val="14"/>
        </w:numPr>
      </w:pPr>
      <w:r>
        <w:t>Describe Agent-D as an administrative and documentation aid with doctor-reviewed suggestions, not a diagnostic or prescribing tool.</w:t>
      </w:r>
    </w:p>
    <w:p w14:paraId="5292E0D8" w14:textId="77777777" w:rsidR="002E4EF1" w:rsidRDefault="00000000">
      <w:pPr>
        <w:pStyle w:val="ListParagraph"/>
        <w:numPr>
          <w:ilvl w:val="0"/>
          <w:numId w:val="14"/>
        </w:numPr>
      </w:pPr>
      <w:r>
        <w:t>Do not add dosage recommendations, diagnosis generation, or risk scores without first getting a regulatory view.</w:t>
      </w:r>
    </w:p>
    <w:p w14:paraId="5292E0D9" w14:textId="77777777" w:rsidR="002E4EF1" w:rsidRDefault="00000000">
      <w:pPr>
        <w:pStyle w:val="ListParagraph"/>
        <w:numPr>
          <w:ilvl w:val="0"/>
          <w:numId w:val="14"/>
        </w:numPr>
      </w:pPr>
      <w:r>
        <w:t>Keep the intended-use statement consistent across the app, the landing page, and the contract.</w:t>
      </w:r>
    </w:p>
    <w:p w14:paraId="5292E0DA" w14:textId="77777777" w:rsidR="002E4EF1" w:rsidRDefault="00000000">
      <w:pPr>
        <w:pStyle w:val="Heading3"/>
      </w:pPr>
      <w:r>
        <w:t>C11. Contract, liability, and insurance</w:t>
      </w:r>
    </w:p>
    <w:p w14:paraId="5292E0DB" w14:textId="77777777" w:rsidR="002E4EF1" w:rsidRDefault="00000000">
      <w:r>
        <w:rPr>
          <w:b/>
        </w:rPr>
        <w:t>Concern.</w:t>
      </w:r>
      <w:r>
        <w:t xml:space="preserve"> Today there may be no written agreement describing who is responsible for what. If something goes wrong, the developer, the doctor, and the clinic could each be exposed, and the doctor's professional indemnity cover may not extend to AI-assisted workflows.</w:t>
      </w:r>
    </w:p>
    <w:p w14:paraId="5292E0DC" w14:textId="77777777" w:rsidR="002E4EF1" w:rsidRDefault="00000000">
      <w:r>
        <w:rPr>
          <w:b/>
        </w:rPr>
        <w:t>Fixes.</w:t>
      </w:r>
    </w:p>
    <w:p w14:paraId="5292E0DD" w14:textId="77777777" w:rsidR="002E4EF1" w:rsidRDefault="00000000">
      <w:pPr>
        <w:pStyle w:val="ListParagraph"/>
        <w:numPr>
          <w:ilvl w:val="0"/>
          <w:numId w:val="15"/>
        </w:numPr>
      </w:pPr>
      <w:r>
        <w:t xml:space="preserve">A </w:t>
      </w:r>
      <w:proofErr w:type="gramStart"/>
      <w:r>
        <w:t>short written</w:t>
      </w:r>
      <w:proofErr w:type="gramEnd"/>
      <w:r>
        <w:t xml:space="preserve"> agreement covering intended use, data ownership (the clinic owns the data), the developer's role and limits of access, the provider used, support and update terms, liability limits, and termination and data return.</w:t>
      </w:r>
    </w:p>
    <w:p w14:paraId="5292E0DE" w14:textId="77777777" w:rsidR="002E4EF1" w:rsidRDefault="00000000">
      <w:pPr>
        <w:pStyle w:val="ListParagraph"/>
        <w:numPr>
          <w:ilvl w:val="0"/>
          <w:numId w:val="15"/>
        </w:numPr>
      </w:pPr>
      <w:r>
        <w:t>A statement that the software is provided as decision support and the doctor remains responsible for clinical decisions.</w:t>
      </w:r>
    </w:p>
    <w:p w14:paraId="5292E0DF" w14:textId="77777777" w:rsidR="002E4EF1" w:rsidRDefault="00000000">
      <w:pPr>
        <w:pStyle w:val="ListParagraph"/>
        <w:numPr>
          <w:ilvl w:val="0"/>
          <w:numId w:val="15"/>
        </w:numPr>
      </w:pPr>
      <w:r>
        <w:t>The doctor should check with their insurer whether the policy covers AI-assisted documentation.</w:t>
      </w:r>
    </w:p>
    <w:p w14:paraId="5292E0E0" w14:textId="77777777" w:rsidR="002E4EF1" w:rsidRDefault="00000000">
      <w:pPr>
        <w:pStyle w:val="ListParagraph"/>
        <w:numPr>
          <w:ilvl w:val="0"/>
          <w:numId w:val="15"/>
        </w:numPr>
      </w:pPr>
      <w:r>
        <w:t>Keep the deployment to this one clinic until the legal position is settled.</w:t>
      </w:r>
    </w:p>
    <w:p w14:paraId="5292E0E1" w14:textId="77777777" w:rsidR="002E4EF1" w:rsidRDefault="00000000">
      <w:pPr>
        <w:pStyle w:val="Heading3"/>
      </w:pPr>
      <w:r>
        <w:t>C12. Cross-border processing</w:t>
      </w:r>
    </w:p>
    <w:p w14:paraId="5292E0E2" w14:textId="77777777" w:rsidR="002E4EF1" w:rsidRDefault="00000000">
      <w:r>
        <w:rPr>
          <w:b/>
        </w:rPr>
        <w:t>Concern.</w:t>
      </w:r>
      <w:r>
        <w:t xml:space="preserve"> The cloud model provider may process prompts on servers outside India. Under the current framework, transfers are permitted to recipients that ensure an equal level of protection; the DPDP framework allows transfers subject to restrictions the government may notify.</w:t>
      </w:r>
    </w:p>
    <w:p w14:paraId="5292E0E3" w14:textId="77777777" w:rsidR="002E4EF1" w:rsidRDefault="00000000">
      <w:r>
        <w:rPr>
          <w:b/>
        </w:rPr>
        <w:t>Fixes.</w:t>
      </w:r>
    </w:p>
    <w:p w14:paraId="5292E0E4" w14:textId="77777777" w:rsidR="002E4EF1" w:rsidRDefault="00000000">
      <w:pPr>
        <w:pStyle w:val="ListParagraph"/>
        <w:numPr>
          <w:ilvl w:val="0"/>
          <w:numId w:val="16"/>
        </w:numPr>
      </w:pPr>
      <w:r>
        <w:t>Check where the provider processes data under the paid terms and whether regional options exist.</w:t>
      </w:r>
    </w:p>
    <w:p w14:paraId="5292E0E5" w14:textId="77777777" w:rsidR="002E4EF1" w:rsidRDefault="00000000">
      <w:pPr>
        <w:pStyle w:val="ListParagraph"/>
        <w:numPr>
          <w:ilvl w:val="0"/>
          <w:numId w:val="16"/>
        </w:numPr>
      </w:pPr>
      <w:r>
        <w:t>Document the transfer and the protections relied on.</w:t>
      </w:r>
    </w:p>
    <w:p w14:paraId="5292E0E6" w14:textId="77777777" w:rsidR="002E4EF1" w:rsidRDefault="00000000">
      <w:pPr>
        <w:pStyle w:val="ListParagraph"/>
        <w:numPr>
          <w:ilvl w:val="0"/>
          <w:numId w:val="16"/>
        </w:numPr>
      </w:pPr>
      <w:r>
        <w:t>Offer the local-model mode as the option with no transfer at all.</w:t>
      </w:r>
    </w:p>
    <w:p w14:paraId="5292E0E7" w14:textId="77777777" w:rsidR="002E4EF1" w:rsidRDefault="00000000">
      <w:pPr>
        <w:pStyle w:val="Heading3"/>
      </w:pPr>
      <w:r>
        <w:lastRenderedPageBreak/>
        <w:t>C13. Reliability of AI output</w:t>
      </w:r>
    </w:p>
    <w:p w14:paraId="5292E0E8" w14:textId="77777777" w:rsidR="002E4EF1" w:rsidRDefault="00000000">
      <w:r>
        <w:rPr>
          <w:b/>
        </w:rPr>
        <w:t>Concern.</w:t>
      </w:r>
      <w:r>
        <w:t xml:space="preserve"> Language models can produce confident errors. In a clinical setting an unnoticed error is a safety and liability risk.</w:t>
      </w:r>
    </w:p>
    <w:p w14:paraId="5292E0E9" w14:textId="77777777" w:rsidR="002E4EF1" w:rsidRDefault="00000000">
      <w:r>
        <w:rPr>
          <w:b/>
        </w:rPr>
        <w:t>Fixes.</w:t>
      </w:r>
    </w:p>
    <w:p w14:paraId="5292E0EA" w14:textId="77777777" w:rsidR="002E4EF1" w:rsidRDefault="00000000">
      <w:pPr>
        <w:pStyle w:val="ListParagraph"/>
        <w:numPr>
          <w:ilvl w:val="0"/>
          <w:numId w:val="17"/>
        </w:numPr>
      </w:pPr>
      <w:r>
        <w:t>Keep source citations to artifact fields in generated briefs, so the doctor can check them.</w:t>
      </w:r>
    </w:p>
    <w:p w14:paraId="5292E0EB" w14:textId="77777777" w:rsidR="002E4EF1" w:rsidRDefault="00000000">
      <w:pPr>
        <w:pStyle w:val="ListParagraph"/>
        <w:numPr>
          <w:ilvl w:val="0"/>
          <w:numId w:val="17"/>
        </w:numPr>
      </w:pPr>
      <w:r>
        <w:t>Log model, version, and prompt for each output.</w:t>
      </w:r>
    </w:p>
    <w:p w14:paraId="5292E0EC" w14:textId="77777777" w:rsidR="002E4EF1" w:rsidRDefault="00000000">
      <w:pPr>
        <w:pStyle w:val="ListParagraph"/>
        <w:numPr>
          <w:ilvl w:val="0"/>
          <w:numId w:val="17"/>
        </w:numPr>
      </w:pPr>
      <w:r>
        <w:t>Run a structured pilot (section 8) with the doctor reviewing every proposal before wider use.</w:t>
      </w:r>
    </w:p>
    <w:p w14:paraId="5292E0ED" w14:textId="77777777" w:rsidR="002E4EF1" w:rsidRDefault="00000000">
      <w:pPr>
        <w:pStyle w:val="Heading2"/>
      </w:pPr>
      <w:r>
        <w:t>6. Workarounds if the clinic wants broad AI use</w:t>
      </w:r>
    </w:p>
    <w:tbl>
      <w:tblPr>
        <w:tblStyle w:val="TableGrid"/>
        <w:tblW w:w="0" w:type="auto"/>
        <w:tblLayout w:type="fixed"/>
        <w:tblLook w:val="0420" w:firstRow="1" w:lastRow="0" w:firstColumn="0" w:lastColumn="0" w:noHBand="0" w:noVBand="1"/>
      </w:tblPr>
      <w:tblGrid>
        <w:gridCol w:w="1178"/>
        <w:gridCol w:w="4856"/>
        <w:gridCol w:w="1984"/>
        <w:gridCol w:w="1342"/>
      </w:tblGrid>
      <w:tr w:rsidR="002E4EF1" w14:paraId="5292E0F2" w14:textId="77777777">
        <w:trPr>
          <w:tblHeader/>
        </w:trPr>
        <w:tc>
          <w:tcPr>
            <w:tcW w:w="1178" w:type="dxa"/>
            <w:shd w:val="clear" w:color="auto" w:fill="F2F2F2"/>
          </w:tcPr>
          <w:p w14:paraId="5292E0EE" w14:textId="77777777" w:rsidR="002E4EF1" w:rsidRDefault="00000000">
            <w:r>
              <w:t>Option</w:t>
            </w:r>
          </w:p>
        </w:tc>
        <w:tc>
          <w:tcPr>
            <w:tcW w:w="4856" w:type="dxa"/>
            <w:shd w:val="clear" w:color="auto" w:fill="F2F2F2"/>
          </w:tcPr>
          <w:p w14:paraId="5292E0EF" w14:textId="77777777" w:rsidR="002E4EF1" w:rsidRDefault="00000000">
            <w:r>
              <w:t>Description</w:t>
            </w:r>
          </w:p>
        </w:tc>
        <w:tc>
          <w:tcPr>
            <w:tcW w:w="1984" w:type="dxa"/>
            <w:shd w:val="clear" w:color="auto" w:fill="F2F2F2"/>
          </w:tcPr>
          <w:p w14:paraId="5292E0F0" w14:textId="77777777" w:rsidR="002E4EF1" w:rsidRDefault="00000000">
            <w:r>
              <w:t>Legal exposure</w:t>
            </w:r>
          </w:p>
        </w:tc>
        <w:tc>
          <w:tcPr>
            <w:tcW w:w="1342" w:type="dxa"/>
            <w:shd w:val="clear" w:color="auto" w:fill="F2F2F2"/>
          </w:tcPr>
          <w:p w14:paraId="5292E0F1" w14:textId="77777777" w:rsidR="002E4EF1" w:rsidRDefault="00000000">
            <w:r>
              <w:t>Capability</w:t>
            </w:r>
          </w:p>
        </w:tc>
      </w:tr>
      <w:tr w:rsidR="002E4EF1" w14:paraId="5292E0F7" w14:textId="77777777">
        <w:tc>
          <w:tcPr>
            <w:tcW w:w="1178" w:type="dxa"/>
          </w:tcPr>
          <w:p w14:paraId="5292E0F3" w14:textId="77777777" w:rsidR="002E4EF1" w:rsidRDefault="00000000">
            <w:r>
              <w:t>A. Local model only</w:t>
            </w:r>
          </w:p>
        </w:tc>
        <w:tc>
          <w:tcPr>
            <w:tcW w:w="4856" w:type="dxa"/>
          </w:tcPr>
          <w:p w14:paraId="5292E0F4" w14:textId="77777777" w:rsidR="002E4EF1" w:rsidRDefault="00000000">
            <w:r>
              <w:t xml:space="preserve">All inference on the clinic machine (for example </w:t>
            </w:r>
            <w:proofErr w:type="spellStart"/>
            <w:r>
              <w:t>Ollama</w:t>
            </w:r>
            <w:proofErr w:type="spellEnd"/>
            <w:r>
              <w:t>); nothing leaves the device</w:t>
            </w:r>
          </w:p>
        </w:tc>
        <w:tc>
          <w:tcPr>
            <w:tcW w:w="1984" w:type="dxa"/>
          </w:tcPr>
          <w:p w14:paraId="5292E0F5" w14:textId="77777777" w:rsidR="002E4EF1" w:rsidRDefault="00000000">
            <w:r>
              <w:t>Lowest: no processor, no transfer</w:t>
            </w:r>
          </w:p>
        </w:tc>
        <w:tc>
          <w:tcPr>
            <w:tcW w:w="1342" w:type="dxa"/>
          </w:tcPr>
          <w:p w14:paraId="5292E0F6" w14:textId="77777777" w:rsidR="002E4EF1" w:rsidRDefault="00000000">
            <w:r>
              <w:t>Lower model quality; needs capable hardware</w:t>
            </w:r>
          </w:p>
        </w:tc>
      </w:tr>
      <w:tr w:rsidR="002E4EF1" w14:paraId="5292E0FC" w14:textId="77777777">
        <w:tc>
          <w:tcPr>
            <w:tcW w:w="1178" w:type="dxa"/>
          </w:tcPr>
          <w:p w14:paraId="5292E0F8" w14:textId="77777777" w:rsidR="002E4EF1" w:rsidRDefault="00000000">
            <w:r>
              <w:t>B. Paid cloud, minimal data</w:t>
            </w:r>
          </w:p>
        </w:tc>
        <w:tc>
          <w:tcPr>
            <w:tcW w:w="4856" w:type="dxa"/>
          </w:tcPr>
          <w:p w14:paraId="5292E0F9" w14:textId="77777777" w:rsidR="002E4EF1" w:rsidRDefault="00000000">
            <w:r>
              <w:t>Paid Gemini keys, allowlisted fields, scrubber, consent, written agreement</w:t>
            </w:r>
          </w:p>
        </w:tc>
        <w:tc>
          <w:tcPr>
            <w:tcW w:w="1984" w:type="dxa"/>
          </w:tcPr>
          <w:p w14:paraId="5292E0FA" w14:textId="77777777" w:rsidR="002E4EF1" w:rsidRDefault="00000000">
            <w:r>
              <w:t>Moderate: manageable with consent, DPA terms, and safeguards</w:t>
            </w:r>
          </w:p>
        </w:tc>
        <w:tc>
          <w:tcPr>
            <w:tcW w:w="1342" w:type="dxa"/>
          </w:tcPr>
          <w:p w14:paraId="5292E0FB" w14:textId="77777777" w:rsidR="002E4EF1" w:rsidRDefault="00000000">
            <w:r>
              <w:t>High</w:t>
            </w:r>
          </w:p>
        </w:tc>
      </w:tr>
      <w:tr w:rsidR="002E4EF1" w14:paraId="5292E101" w14:textId="77777777">
        <w:tc>
          <w:tcPr>
            <w:tcW w:w="1178" w:type="dxa"/>
          </w:tcPr>
          <w:p w14:paraId="5292E0FD" w14:textId="77777777" w:rsidR="002E4EF1" w:rsidRDefault="00000000">
            <w:r>
              <w:t>C. Hybrid</w:t>
            </w:r>
          </w:p>
        </w:tc>
        <w:tc>
          <w:tcPr>
            <w:tcW w:w="4856" w:type="dxa"/>
          </w:tcPr>
          <w:p w14:paraId="5292E0FE" w14:textId="77777777" w:rsidR="002E4EF1" w:rsidRDefault="00000000">
            <w:r>
              <w:t>Local model for anything touching patient content; cloud only for non-patient tasks such as scheduling text or drafting templates</w:t>
            </w:r>
          </w:p>
        </w:tc>
        <w:tc>
          <w:tcPr>
            <w:tcW w:w="1984" w:type="dxa"/>
          </w:tcPr>
          <w:p w14:paraId="5292E0FF" w14:textId="77777777" w:rsidR="002E4EF1" w:rsidRDefault="00000000">
            <w:r>
              <w:t>Low to moderate</w:t>
            </w:r>
          </w:p>
        </w:tc>
        <w:tc>
          <w:tcPr>
            <w:tcW w:w="1342" w:type="dxa"/>
          </w:tcPr>
          <w:p w14:paraId="5292E100" w14:textId="77777777" w:rsidR="002E4EF1" w:rsidRDefault="00000000">
            <w:r>
              <w:t>Medium to high</w:t>
            </w:r>
          </w:p>
        </w:tc>
      </w:tr>
      <w:tr w:rsidR="002E4EF1" w14:paraId="5292E106" w14:textId="77777777">
        <w:tc>
          <w:tcPr>
            <w:tcW w:w="1178" w:type="dxa"/>
          </w:tcPr>
          <w:p w14:paraId="5292E102" w14:textId="77777777" w:rsidR="002E4EF1" w:rsidRDefault="00000000">
            <w:r>
              <w:t>D. Defer cloud AI</w:t>
            </w:r>
          </w:p>
        </w:tc>
        <w:tc>
          <w:tcPr>
            <w:tcW w:w="4856" w:type="dxa"/>
          </w:tcPr>
          <w:p w14:paraId="5292E103" w14:textId="77777777" w:rsidR="002E4EF1" w:rsidRDefault="00000000">
            <w:r>
              <w:t>Run Agent-D without cloud AI until compliance work and legal review are complete (around May 2027)</w:t>
            </w:r>
          </w:p>
        </w:tc>
        <w:tc>
          <w:tcPr>
            <w:tcW w:w="1984" w:type="dxa"/>
          </w:tcPr>
          <w:p w14:paraId="5292E104" w14:textId="77777777" w:rsidR="002E4EF1" w:rsidRDefault="00000000">
            <w:r>
              <w:t>Lowest for cloud risk</w:t>
            </w:r>
          </w:p>
        </w:tc>
        <w:tc>
          <w:tcPr>
            <w:tcW w:w="1342" w:type="dxa"/>
          </w:tcPr>
          <w:p w14:paraId="5292E105" w14:textId="77777777" w:rsidR="002E4EF1" w:rsidRDefault="00000000">
            <w:r>
              <w:t>Core workflow only</w:t>
            </w:r>
          </w:p>
        </w:tc>
      </w:tr>
    </w:tbl>
    <w:p w14:paraId="5292E107" w14:textId="77777777" w:rsidR="002E4EF1" w:rsidRDefault="00000000">
      <w:r>
        <w:t>Recommended path: start with option C or A for real patients, run option B only after counsel signs off on consent, contract, and data map, and treat option D as the fallback if sign-off takes longer than the clinic's timeline.</w:t>
      </w:r>
    </w:p>
    <w:p w14:paraId="5292E108" w14:textId="77777777" w:rsidR="002E4EF1" w:rsidRDefault="00000000">
      <w:pPr>
        <w:pStyle w:val="Heading2"/>
      </w:pPr>
      <w:r>
        <w:t>7. Pre-launch checklist for real patients</w:t>
      </w:r>
    </w:p>
    <w:p w14:paraId="5292E109" w14:textId="77777777" w:rsidR="002E4EF1" w:rsidRDefault="00000000">
      <w:pPr>
        <w:pStyle w:val="ListParagraph"/>
        <w:numPr>
          <w:ilvl w:val="0"/>
          <w:numId w:val="18"/>
        </w:numPr>
      </w:pPr>
      <w:r>
        <w:t>☐ Paid API keys in use; free-tier detection and block implemented</w:t>
      </w:r>
    </w:p>
    <w:p w14:paraId="5292E10A" w14:textId="77777777" w:rsidR="002E4EF1" w:rsidRDefault="00000000">
      <w:pPr>
        <w:pStyle w:val="ListParagraph"/>
        <w:numPr>
          <w:ilvl w:val="0"/>
          <w:numId w:val="18"/>
        </w:numPr>
      </w:pPr>
      <w:r>
        <w:t>☐ Approved data map listing every field that can reach the model</w:t>
      </w:r>
    </w:p>
    <w:p w14:paraId="5292E10B" w14:textId="77777777" w:rsidR="002E4EF1" w:rsidRDefault="00000000">
      <w:pPr>
        <w:pStyle w:val="ListParagraph"/>
        <w:numPr>
          <w:ilvl w:val="0"/>
          <w:numId w:val="18"/>
        </w:numPr>
      </w:pPr>
      <w:r>
        <w:t>☐ Allowlist enforced in code and tested</w:t>
      </w:r>
    </w:p>
    <w:p w14:paraId="5292E10C" w14:textId="77777777" w:rsidR="002E4EF1" w:rsidRDefault="00000000">
      <w:pPr>
        <w:pStyle w:val="ListParagraph"/>
        <w:numPr>
          <w:ilvl w:val="0"/>
          <w:numId w:val="18"/>
        </w:numPr>
      </w:pPr>
      <w:r>
        <w:t>☐ Free-text scrubber or warning in place</w:t>
      </w:r>
    </w:p>
    <w:p w14:paraId="5292E10D" w14:textId="77777777" w:rsidR="002E4EF1" w:rsidRDefault="00000000">
      <w:pPr>
        <w:pStyle w:val="ListParagraph"/>
        <w:numPr>
          <w:ilvl w:val="0"/>
          <w:numId w:val="18"/>
        </w:numPr>
      </w:pPr>
      <w:r>
        <w:t>☐ Patient notice drafted, translated, and approved by counsel</w:t>
      </w:r>
    </w:p>
    <w:p w14:paraId="5292E10E" w14:textId="77777777" w:rsidR="002E4EF1" w:rsidRDefault="00000000">
      <w:pPr>
        <w:pStyle w:val="ListParagraph"/>
        <w:numPr>
          <w:ilvl w:val="0"/>
          <w:numId w:val="18"/>
        </w:numPr>
      </w:pPr>
      <w:r>
        <w:t>☐ Consent captured with timestamp and notice version; AI processing optional</w:t>
      </w:r>
    </w:p>
    <w:p w14:paraId="5292E10F" w14:textId="77777777" w:rsidR="002E4EF1" w:rsidRDefault="00000000">
      <w:pPr>
        <w:pStyle w:val="ListParagraph"/>
        <w:numPr>
          <w:ilvl w:val="0"/>
          <w:numId w:val="18"/>
        </w:numPr>
      </w:pPr>
      <w:r>
        <w:lastRenderedPageBreak/>
        <w:t>☐ Child and guardianship flag, with AI off by default for those patients</w:t>
      </w:r>
    </w:p>
    <w:p w14:paraId="5292E110" w14:textId="77777777" w:rsidR="002E4EF1" w:rsidRDefault="00000000">
      <w:pPr>
        <w:pStyle w:val="ListParagraph"/>
        <w:numPr>
          <w:ilvl w:val="0"/>
          <w:numId w:val="18"/>
        </w:numPr>
      </w:pPr>
      <w:r>
        <w:t>☐ Retention and erasure workflow, with counsel-confirmed retention periods</w:t>
      </w:r>
    </w:p>
    <w:p w14:paraId="5292E111" w14:textId="77777777" w:rsidR="002E4EF1" w:rsidRDefault="00000000">
      <w:pPr>
        <w:pStyle w:val="ListParagraph"/>
        <w:numPr>
          <w:ilvl w:val="0"/>
          <w:numId w:val="18"/>
        </w:numPr>
      </w:pPr>
      <w:r>
        <w:t>☐ Vault key recovery and encrypted backup tested</w:t>
      </w:r>
    </w:p>
    <w:p w14:paraId="5292E112" w14:textId="77777777" w:rsidR="002E4EF1" w:rsidRDefault="00000000">
      <w:pPr>
        <w:pStyle w:val="ListParagraph"/>
        <w:numPr>
          <w:ilvl w:val="0"/>
          <w:numId w:val="18"/>
        </w:numPr>
      </w:pPr>
      <w:r>
        <w:t>☐ Disk encryption, separate OS account, and screen lock on the clinic computer</w:t>
      </w:r>
    </w:p>
    <w:p w14:paraId="5292E113" w14:textId="77777777" w:rsidR="002E4EF1" w:rsidRDefault="00000000">
      <w:pPr>
        <w:pStyle w:val="ListParagraph"/>
        <w:numPr>
          <w:ilvl w:val="0"/>
          <w:numId w:val="18"/>
        </w:numPr>
      </w:pPr>
      <w:r>
        <w:t>☐ Breach response plan written and rehearsed</w:t>
      </w:r>
    </w:p>
    <w:p w14:paraId="5292E114" w14:textId="77777777" w:rsidR="002E4EF1" w:rsidRDefault="00000000">
      <w:pPr>
        <w:pStyle w:val="ListParagraph"/>
        <w:numPr>
          <w:ilvl w:val="0"/>
          <w:numId w:val="18"/>
        </w:numPr>
      </w:pPr>
      <w:r>
        <w:t>☐ Written agreement between developer and clinic signed</w:t>
      </w:r>
    </w:p>
    <w:p w14:paraId="5292E115" w14:textId="77777777" w:rsidR="002E4EF1" w:rsidRDefault="00000000">
      <w:pPr>
        <w:pStyle w:val="ListParagraph"/>
        <w:numPr>
          <w:ilvl w:val="0"/>
          <w:numId w:val="18"/>
        </w:numPr>
      </w:pPr>
      <w:r>
        <w:t>☐ Doctor has checked professional indemnity cover</w:t>
      </w:r>
    </w:p>
    <w:p w14:paraId="5292E116" w14:textId="77777777" w:rsidR="002E4EF1" w:rsidRDefault="00000000">
      <w:pPr>
        <w:pStyle w:val="ListParagraph"/>
        <w:numPr>
          <w:ilvl w:val="0"/>
          <w:numId w:val="18"/>
        </w:numPr>
      </w:pPr>
      <w:r>
        <w:t>☐ Public claims reviewed (app, landing page, clinic materials)</w:t>
      </w:r>
    </w:p>
    <w:p w14:paraId="5292E117" w14:textId="77777777" w:rsidR="002E4EF1" w:rsidRDefault="00000000">
      <w:pPr>
        <w:pStyle w:val="ListParagraph"/>
        <w:numPr>
          <w:ilvl w:val="0"/>
          <w:numId w:val="18"/>
        </w:numPr>
      </w:pPr>
      <w:r>
        <w:t>☐ Intended-use statement agreed and consistent</w:t>
      </w:r>
    </w:p>
    <w:p w14:paraId="5292E118" w14:textId="77777777" w:rsidR="002E4EF1" w:rsidRDefault="00000000">
      <w:pPr>
        <w:pStyle w:val="Heading2"/>
      </w:pPr>
      <w:r>
        <w:t>8. Suggested pilot plan</w:t>
      </w:r>
    </w:p>
    <w:p w14:paraId="5292E119" w14:textId="77777777" w:rsidR="002E4EF1" w:rsidRDefault="00000000">
      <w:pPr>
        <w:pStyle w:val="ListParagraph"/>
        <w:numPr>
          <w:ilvl w:val="0"/>
          <w:numId w:val="19"/>
        </w:numPr>
      </w:pPr>
      <w:r>
        <w:rPr>
          <w:b/>
        </w:rPr>
        <w:t>Phase 1, synthetic data.</w:t>
      </w:r>
      <w:r>
        <w:t xml:space="preserve"> Use invented patients to test the full workflow with paid keys and the allowlist.</w:t>
      </w:r>
    </w:p>
    <w:p w14:paraId="5292E11A" w14:textId="77777777" w:rsidR="002E4EF1" w:rsidRDefault="00000000">
      <w:pPr>
        <w:pStyle w:val="ListParagraph"/>
        <w:numPr>
          <w:ilvl w:val="0"/>
          <w:numId w:val="19"/>
        </w:numPr>
      </w:pPr>
      <w:r>
        <w:rPr>
          <w:b/>
        </w:rPr>
        <w:t>Phase 2, supervised pilot.</w:t>
      </w:r>
      <w:r>
        <w:t xml:space="preserve"> A small number of consenting adult patients, local or hybrid mode first, doctor reviews every proposal, weekly review of the audit log.</w:t>
      </w:r>
    </w:p>
    <w:p w14:paraId="5292E11B" w14:textId="77777777" w:rsidR="002E4EF1" w:rsidRDefault="00000000">
      <w:pPr>
        <w:pStyle w:val="ListParagraph"/>
        <w:numPr>
          <w:ilvl w:val="0"/>
          <w:numId w:val="19"/>
        </w:numPr>
      </w:pPr>
      <w:r>
        <w:rPr>
          <w:b/>
        </w:rPr>
        <w:t>Phase 3, extend.</w:t>
      </w:r>
      <w:r>
        <w:t xml:space="preserve"> Enable cloud mode for consenting patients once counsel has approved the notice, contract, and data map, and once the DPDP-ready controls are in place.</w:t>
      </w:r>
    </w:p>
    <w:p w14:paraId="5292E11C" w14:textId="77777777" w:rsidR="002E4EF1" w:rsidRDefault="00000000">
      <w:pPr>
        <w:pStyle w:val="ListParagraph"/>
        <w:numPr>
          <w:ilvl w:val="0"/>
          <w:numId w:val="19"/>
        </w:numPr>
      </w:pPr>
      <w:r>
        <w:t>Define stop conditions up front: any suspected identifier leak, any harmful suggestion that reaches a patient, or any security incident pauses the pilot.</w:t>
      </w:r>
    </w:p>
    <w:p w14:paraId="5292E11D" w14:textId="77777777" w:rsidR="002E4EF1" w:rsidRDefault="00000000">
      <w:pPr>
        <w:pStyle w:val="Heading2"/>
      </w:pPr>
      <w:r>
        <w:t>9. Questions for counsel</w:t>
      </w:r>
    </w:p>
    <w:p w14:paraId="5292E11E" w14:textId="77777777" w:rsidR="002E4EF1" w:rsidRDefault="00000000">
      <w:pPr>
        <w:pStyle w:val="ListParagraph"/>
        <w:numPr>
          <w:ilvl w:val="0"/>
          <w:numId w:val="20"/>
        </w:numPr>
      </w:pPr>
      <w:r>
        <w:t>Is the clinic a body corporate under the IT Act framework, and which obligations apply to it today?</w:t>
      </w:r>
    </w:p>
    <w:p w14:paraId="5292E11F" w14:textId="77777777" w:rsidR="002E4EF1" w:rsidRDefault="00000000">
      <w:pPr>
        <w:pStyle w:val="ListParagraph"/>
        <w:numPr>
          <w:ilvl w:val="0"/>
          <w:numId w:val="20"/>
        </w:numPr>
      </w:pPr>
      <w:r>
        <w:t>What consent and notice are sufficient now, and what will be required from May 2027?</w:t>
      </w:r>
    </w:p>
    <w:p w14:paraId="5292E120" w14:textId="77777777" w:rsidR="002E4EF1" w:rsidRDefault="00000000">
      <w:pPr>
        <w:pStyle w:val="ListParagraph"/>
        <w:numPr>
          <w:ilvl w:val="0"/>
          <w:numId w:val="20"/>
        </w:numPr>
      </w:pPr>
      <w:r>
        <w:t>Is a data processing agreement with the model provider required, and are the provider's standard paid terms enough?</w:t>
      </w:r>
    </w:p>
    <w:p w14:paraId="5292E121" w14:textId="77777777" w:rsidR="002E4EF1" w:rsidRDefault="00000000">
      <w:pPr>
        <w:pStyle w:val="ListParagraph"/>
        <w:numPr>
          <w:ilvl w:val="0"/>
          <w:numId w:val="20"/>
        </w:numPr>
      </w:pPr>
      <w:r>
        <w:t>Do any of the DPDP legitimate-use grounds apply to consultation data, and should the clinic rely on consent regardless?</w:t>
      </w:r>
    </w:p>
    <w:p w14:paraId="5292E122" w14:textId="77777777" w:rsidR="002E4EF1" w:rsidRDefault="00000000">
      <w:pPr>
        <w:pStyle w:val="ListParagraph"/>
        <w:numPr>
          <w:ilvl w:val="0"/>
          <w:numId w:val="20"/>
        </w:numPr>
      </w:pPr>
      <w:r>
        <w:t>What retention periods apply to the clinic's records, and how should erasure requests be handled against them?</w:t>
      </w:r>
    </w:p>
    <w:p w14:paraId="5292E123" w14:textId="77777777" w:rsidR="002E4EF1" w:rsidRDefault="00000000">
      <w:pPr>
        <w:pStyle w:val="ListParagraph"/>
        <w:numPr>
          <w:ilvl w:val="0"/>
          <w:numId w:val="20"/>
        </w:numPr>
      </w:pPr>
      <w:r>
        <w:t>How should consent be handled for minors and persons with disabilities in a consulting clinic?</w:t>
      </w:r>
    </w:p>
    <w:p w14:paraId="5292E124" w14:textId="77777777" w:rsidR="002E4EF1" w:rsidRDefault="00000000">
      <w:pPr>
        <w:pStyle w:val="ListParagraph"/>
        <w:numPr>
          <w:ilvl w:val="0"/>
          <w:numId w:val="20"/>
        </w:numPr>
      </w:pPr>
      <w:r>
        <w:t>Does Agent-D, as described, fall under medical device rules, and what wording of intended use is safest?</w:t>
      </w:r>
    </w:p>
    <w:p w14:paraId="5292E125" w14:textId="77777777" w:rsidR="002E4EF1" w:rsidRDefault="00000000">
      <w:pPr>
        <w:pStyle w:val="ListParagraph"/>
        <w:numPr>
          <w:ilvl w:val="0"/>
          <w:numId w:val="20"/>
        </w:numPr>
      </w:pPr>
      <w:r>
        <w:t>Are there cross-border transfer constraints that apply to prompts sent to the provider?</w:t>
      </w:r>
    </w:p>
    <w:p w14:paraId="5292E126" w14:textId="77777777" w:rsidR="002E4EF1" w:rsidRDefault="00000000">
      <w:pPr>
        <w:pStyle w:val="ListParagraph"/>
        <w:numPr>
          <w:ilvl w:val="0"/>
          <w:numId w:val="20"/>
        </w:numPr>
      </w:pPr>
      <w:r>
        <w:t>Is the clinic covered by the CERT-In reporting directions, and what are the breach-reporting steps?</w:t>
      </w:r>
    </w:p>
    <w:p w14:paraId="5292E127" w14:textId="77777777" w:rsidR="002E4EF1" w:rsidRDefault="00000000">
      <w:pPr>
        <w:pStyle w:val="ListParagraph"/>
        <w:numPr>
          <w:ilvl w:val="0"/>
          <w:numId w:val="20"/>
        </w:numPr>
      </w:pPr>
      <w:r>
        <w:t>What should the developer-clinic agreement contain, and how should liability be allocated?</w:t>
      </w:r>
    </w:p>
    <w:p w14:paraId="5292E128" w14:textId="77777777" w:rsidR="002E4EF1" w:rsidRDefault="00000000">
      <w:pPr>
        <w:pStyle w:val="ListParagraph"/>
        <w:numPr>
          <w:ilvl w:val="0"/>
          <w:numId w:val="20"/>
        </w:numPr>
      </w:pPr>
      <w:r>
        <w:t>Does the doctor's professional indemnity cover AI-assisted workflows?</w:t>
      </w:r>
    </w:p>
    <w:p w14:paraId="5292E129" w14:textId="77777777" w:rsidR="002E4EF1" w:rsidRDefault="00000000">
      <w:pPr>
        <w:pStyle w:val="Heading2"/>
      </w:pPr>
      <w:r>
        <w:t>10. Sources consulted</w:t>
      </w:r>
    </w:p>
    <w:p w14:paraId="5292E12A" w14:textId="77777777" w:rsidR="002E4EF1" w:rsidRDefault="00000000">
      <w:pPr>
        <w:pStyle w:val="ListParagraph"/>
        <w:numPr>
          <w:ilvl w:val="0"/>
          <w:numId w:val="21"/>
        </w:numPr>
      </w:pPr>
      <w:r>
        <w:t xml:space="preserve">Gemini API Additional Terms of Service, </w:t>
      </w:r>
      <w:proofErr w:type="spellStart"/>
      <w:r>
        <w:t>ai.google.dev</w:t>
      </w:r>
      <w:proofErr w:type="spellEnd"/>
      <w:r>
        <w:t>/terms</w:t>
      </w:r>
    </w:p>
    <w:p w14:paraId="5292E12B" w14:textId="77777777" w:rsidR="002E4EF1" w:rsidRDefault="00000000">
      <w:pPr>
        <w:pStyle w:val="ListParagraph"/>
        <w:numPr>
          <w:ilvl w:val="0"/>
          <w:numId w:val="21"/>
        </w:numPr>
      </w:pPr>
      <w:r>
        <w:t>Digital Personal Data Protection Rules, 2025, PIB release of 17 November 2025</w:t>
      </w:r>
    </w:p>
    <w:p w14:paraId="5292E12C" w14:textId="77777777" w:rsidR="002E4EF1" w:rsidRDefault="00000000">
      <w:pPr>
        <w:pStyle w:val="ListParagraph"/>
        <w:numPr>
          <w:ilvl w:val="0"/>
          <w:numId w:val="21"/>
        </w:numPr>
      </w:pPr>
      <w:r>
        <w:lastRenderedPageBreak/>
        <w:t>Legal update on the DPDP Rules, 2025 (</w:t>
      </w:r>
      <w:proofErr w:type="spellStart"/>
      <w:r>
        <w:t>Mondaq</w:t>
      </w:r>
      <w:proofErr w:type="spellEnd"/>
      <w:r>
        <w:t>, 19 November 2025) and publications by Hogan Lovells and BDO India on phased implementation</w:t>
      </w:r>
    </w:p>
    <w:p w14:paraId="5292E12D" w14:textId="77777777" w:rsidR="002E4EF1" w:rsidRDefault="00000000">
      <w:pPr>
        <w:pStyle w:val="ListParagraph"/>
        <w:numPr>
          <w:ilvl w:val="0"/>
          <w:numId w:val="21"/>
        </w:numPr>
      </w:pPr>
      <w:r>
        <w:t xml:space="preserve">Nishith Desai Associates and </w:t>
      </w:r>
      <w:proofErr w:type="spellStart"/>
      <w:r>
        <w:t>Telfa</w:t>
      </w:r>
      <w:proofErr w:type="spellEnd"/>
      <w:r>
        <w:t xml:space="preserve"> Law analyses of the SPDI Rules, 2011</w:t>
      </w:r>
    </w:p>
    <w:p w14:paraId="5292E12E" w14:textId="77777777" w:rsidR="002E4EF1" w:rsidRDefault="00000000">
      <w:pPr>
        <w:pStyle w:val="ListParagraph"/>
        <w:numPr>
          <w:ilvl w:val="0"/>
          <w:numId w:val="21"/>
        </w:numPr>
      </w:pPr>
      <w:r>
        <w:t>Indian Journal of Medical Ethics (2023), article on healthcare data protection</w:t>
      </w:r>
    </w:p>
    <w:p w14:paraId="5292E12F" w14:textId="77777777" w:rsidR="002E4EF1" w:rsidRDefault="00000000">
      <w:r>
        <w:t>These are secondary sources used to prepare discussion points. Counsel should work from the primary texts.</w:t>
      </w:r>
    </w:p>
    <w:p w14:paraId="5292E130" w14:textId="77777777" w:rsidR="002E4EF1" w:rsidRDefault="00000000">
      <w:pPr>
        <w:pStyle w:val="Heading2"/>
      </w:pPr>
      <w:r>
        <w:t>11. Disclaimer</w:t>
      </w:r>
    </w:p>
    <w:p w14:paraId="5292E131" w14:textId="77777777" w:rsidR="002E4EF1" w:rsidRDefault="00000000">
      <w:r>
        <w:t xml:space="preserve">This document is not legal advice. It </w:t>
      </w:r>
      <w:proofErr w:type="spellStart"/>
      <w:r>
        <w:t>summarises</w:t>
      </w:r>
      <w:proofErr w:type="spellEnd"/>
      <w:r>
        <w:t xml:space="preserve"> concerns and options to support a discussion with a qualified lawyer and does not establish that any specific use is lawful or unlawful. Laws and provider terms change, and several points above are explicitly marked for confirmation.</w:t>
      </w:r>
    </w:p>
    <w:sectPr w:rsidR="002E4EF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56E5B"/>
    <w:multiLevelType w:val="hybridMultilevel"/>
    <w:tmpl w:val="C798AC8C"/>
    <w:lvl w:ilvl="0" w:tplc="2C203410">
      <w:start w:val="1"/>
      <w:numFmt w:val="decimal"/>
      <w:lvlText w:val="%1."/>
      <w:lvlJc w:val="left"/>
      <w:pPr>
        <w:ind w:left="720" w:hanging="360"/>
      </w:pPr>
    </w:lvl>
    <w:lvl w:ilvl="1" w:tplc="B8A8B130">
      <w:start w:val="1"/>
      <w:numFmt w:val="lowerLetter"/>
      <w:lvlText w:val="%2."/>
      <w:lvlJc w:val="left"/>
      <w:pPr>
        <w:ind w:left="1440" w:hanging="360"/>
      </w:pPr>
    </w:lvl>
    <w:lvl w:ilvl="2" w:tplc="0EECC1F4">
      <w:start w:val="1"/>
      <w:numFmt w:val="lowerRoman"/>
      <w:lvlText w:val="%3."/>
      <w:lvlJc w:val="left"/>
      <w:pPr>
        <w:ind w:left="2160" w:hanging="360"/>
      </w:pPr>
    </w:lvl>
    <w:lvl w:ilvl="3" w:tplc="29342B3E">
      <w:start w:val="1"/>
      <w:numFmt w:val="decimal"/>
      <w:lvlText w:val="%4."/>
      <w:lvlJc w:val="left"/>
      <w:pPr>
        <w:ind w:left="2880" w:hanging="360"/>
      </w:pPr>
    </w:lvl>
    <w:lvl w:ilvl="4" w:tplc="6144D6B8">
      <w:start w:val="1"/>
      <w:numFmt w:val="lowerLetter"/>
      <w:lvlText w:val="%5."/>
      <w:lvlJc w:val="left"/>
      <w:pPr>
        <w:ind w:left="3600" w:hanging="360"/>
      </w:pPr>
    </w:lvl>
    <w:lvl w:ilvl="5" w:tplc="D5F22996">
      <w:start w:val="1"/>
      <w:numFmt w:val="lowerRoman"/>
      <w:lvlText w:val="%6."/>
      <w:lvlJc w:val="left"/>
      <w:pPr>
        <w:ind w:left="4320" w:hanging="360"/>
      </w:pPr>
    </w:lvl>
    <w:lvl w:ilvl="6" w:tplc="CBC6F24C">
      <w:start w:val="1"/>
      <w:numFmt w:val="decimal"/>
      <w:lvlText w:val="%7."/>
      <w:lvlJc w:val="left"/>
      <w:pPr>
        <w:ind w:left="5040" w:hanging="360"/>
      </w:pPr>
    </w:lvl>
    <w:lvl w:ilvl="7" w:tplc="F754EDEC">
      <w:start w:val="1"/>
      <w:numFmt w:val="lowerLetter"/>
      <w:lvlText w:val="%8."/>
      <w:lvlJc w:val="left"/>
      <w:pPr>
        <w:ind w:left="5760" w:hanging="360"/>
      </w:pPr>
    </w:lvl>
    <w:lvl w:ilvl="8" w:tplc="24484F22">
      <w:start w:val="1"/>
      <w:numFmt w:val="lowerRoman"/>
      <w:lvlText w:val="%9."/>
      <w:lvlJc w:val="left"/>
      <w:pPr>
        <w:ind w:left="6480" w:hanging="360"/>
      </w:pPr>
    </w:lvl>
  </w:abstractNum>
  <w:abstractNum w:abstractNumId="1" w15:restartNumberingAfterBreak="0">
    <w:nsid w:val="67B67D1A"/>
    <w:multiLevelType w:val="hybridMultilevel"/>
    <w:tmpl w:val="B7ACE246"/>
    <w:lvl w:ilvl="0" w:tplc="4BF8B83E">
      <w:start w:val="1"/>
      <w:numFmt w:val="bullet"/>
      <w:lvlText w:val="•"/>
      <w:lvlJc w:val="left"/>
      <w:pPr>
        <w:ind w:left="720" w:hanging="360"/>
      </w:pPr>
    </w:lvl>
    <w:lvl w:ilvl="1" w:tplc="9EE8AC64">
      <w:start w:val="1"/>
      <w:numFmt w:val="bullet"/>
      <w:lvlText w:val="o"/>
      <w:lvlJc w:val="left"/>
      <w:pPr>
        <w:ind w:left="1440" w:hanging="360"/>
      </w:pPr>
    </w:lvl>
    <w:lvl w:ilvl="2" w:tplc="F928F44C">
      <w:start w:val="1"/>
      <w:numFmt w:val="bullet"/>
      <w:lvlText w:val="▪"/>
      <w:lvlJc w:val="left"/>
      <w:pPr>
        <w:ind w:left="2160" w:hanging="360"/>
      </w:pPr>
    </w:lvl>
    <w:lvl w:ilvl="3" w:tplc="BD481520">
      <w:start w:val="1"/>
      <w:numFmt w:val="bullet"/>
      <w:lvlText w:val="•"/>
      <w:lvlJc w:val="left"/>
      <w:pPr>
        <w:ind w:left="2880" w:hanging="360"/>
      </w:pPr>
    </w:lvl>
    <w:lvl w:ilvl="4" w:tplc="E8768B14">
      <w:start w:val="1"/>
      <w:numFmt w:val="bullet"/>
      <w:lvlText w:val="o"/>
      <w:lvlJc w:val="left"/>
      <w:pPr>
        <w:ind w:left="3600" w:hanging="360"/>
      </w:pPr>
    </w:lvl>
    <w:lvl w:ilvl="5" w:tplc="F8602390">
      <w:start w:val="1"/>
      <w:numFmt w:val="bullet"/>
      <w:lvlText w:val="▪"/>
      <w:lvlJc w:val="left"/>
      <w:pPr>
        <w:ind w:left="4320" w:hanging="360"/>
      </w:pPr>
    </w:lvl>
    <w:lvl w:ilvl="6" w:tplc="A774B326">
      <w:start w:val="1"/>
      <w:numFmt w:val="bullet"/>
      <w:lvlText w:val="•"/>
      <w:lvlJc w:val="left"/>
      <w:pPr>
        <w:ind w:left="5040" w:hanging="360"/>
      </w:pPr>
    </w:lvl>
    <w:lvl w:ilvl="7" w:tplc="4CD294AA">
      <w:start w:val="1"/>
      <w:numFmt w:val="bullet"/>
      <w:lvlText w:val="o"/>
      <w:lvlJc w:val="left"/>
      <w:pPr>
        <w:ind w:left="5760" w:hanging="360"/>
      </w:pPr>
    </w:lvl>
    <w:lvl w:ilvl="8" w:tplc="E71A6EB8">
      <w:start w:val="1"/>
      <w:numFmt w:val="bullet"/>
      <w:lvlText w:val="▪"/>
      <w:lvlJc w:val="left"/>
      <w:pPr>
        <w:ind w:left="6480" w:hanging="360"/>
      </w:pPr>
    </w:lvl>
  </w:abstractNum>
  <w:num w:numId="1" w16cid:durableId="383333701">
    <w:abstractNumId w:val="1"/>
  </w:num>
  <w:num w:numId="2" w16cid:durableId="603850533">
    <w:abstractNumId w:val="0"/>
    <w:lvlOverride w:ilvl="0">
      <w:startOverride w:val="1"/>
    </w:lvlOverride>
  </w:num>
  <w:num w:numId="3" w16cid:durableId="124742228">
    <w:abstractNumId w:val="1"/>
  </w:num>
  <w:num w:numId="4" w16cid:durableId="1849053227">
    <w:abstractNumId w:val="1"/>
  </w:num>
  <w:num w:numId="5" w16cid:durableId="300036994">
    <w:abstractNumId w:val="1"/>
  </w:num>
  <w:num w:numId="6" w16cid:durableId="571815636">
    <w:abstractNumId w:val="1"/>
  </w:num>
  <w:num w:numId="7" w16cid:durableId="967205620">
    <w:abstractNumId w:val="1"/>
  </w:num>
  <w:num w:numId="8" w16cid:durableId="1836145600">
    <w:abstractNumId w:val="1"/>
  </w:num>
  <w:num w:numId="9" w16cid:durableId="1174028573">
    <w:abstractNumId w:val="1"/>
  </w:num>
  <w:num w:numId="10" w16cid:durableId="1566800135">
    <w:abstractNumId w:val="1"/>
  </w:num>
  <w:num w:numId="11" w16cid:durableId="2086494437">
    <w:abstractNumId w:val="1"/>
  </w:num>
  <w:num w:numId="12" w16cid:durableId="1990547876">
    <w:abstractNumId w:val="1"/>
  </w:num>
  <w:num w:numId="13" w16cid:durableId="27918691">
    <w:abstractNumId w:val="1"/>
  </w:num>
  <w:num w:numId="14" w16cid:durableId="1247152819">
    <w:abstractNumId w:val="1"/>
  </w:num>
  <w:num w:numId="15" w16cid:durableId="657345063">
    <w:abstractNumId w:val="1"/>
  </w:num>
  <w:num w:numId="16" w16cid:durableId="785201790">
    <w:abstractNumId w:val="1"/>
  </w:num>
  <w:num w:numId="17" w16cid:durableId="125127924">
    <w:abstractNumId w:val="1"/>
  </w:num>
  <w:num w:numId="18" w16cid:durableId="1109005993">
    <w:abstractNumId w:val="1"/>
  </w:num>
  <w:num w:numId="19" w16cid:durableId="976299638">
    <w:abstractNumId w:val="0"/>
    <w:lvlOverride w:ilvl="0">
      <w:startOverride w:val="1"/>
    </w:lvlOverride>
  </w:num>
  <w:num w:numId="20" w16cid:durableId="1947695456">
    <w:abstractNumId w:val="0"/>
    <w:lvlOverride w:ilvl="0">
      <w:startOverride w:val="1"/>
    </w:lvlOverride>
  </w:num>
  <w:num w:numId="21" w16cid:durableId="139023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4EF1"/>
    <w:rsid w:val="00050094"/>
    <w:rsid w:val="002E4EF1"/>
    <w:rsid w:val="00CB1D30"/>
    <w:rsid w:val="00DB5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E064"/>
  <w15:docId w15:val="{191B27D5-B70B-4CC5-A25F-C8E8CC4F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2808</Words>
  <Characters>16012</Characters>
  <Application>Microsoft Office Word</Application>
  <DocSecurity>0</DocSecurity>
  <Lines>133</Lines>
  <Paragraphs>37</Paragraphs>
  <ScaleCrop>false</ScaleCrop>
  <Company/>
  <LinksUpToDate>false</LinksUpToDate>
  <CharactersWithSpaces>18783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Agent-D Legal Concerns, Risks and Mitigations</dc:title>
  <dc:description>Claude Docs node/e101c861-83dd@1 docx-w7</dc:description>
  <cp:lastModifiedBy>Pranshul Chopra</cp:lastModifiedBy>
  <cp:revision>3</cp:revision>
  <dcterms:created xsi:type="dcterms:W3CDTF">2026-10-23T05:34:00Z</dcterms:created>
  <dcterms:modified xsi:type="dcterms:W3CDTF">2026-10-23T05:35:00Z</dcterms:modified>
</cp:coreProperties>
</file>