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AAF1F" w14:textId="7023057F" w:rsidR="009B2675" w:rsidRPr="009B2675" w:rsidRDefault="00000000" w:rsidP="009B2675">
      <w:pPr>
        <w:pStyle w:val="Title"/>
        <w:rPr>
          <w:sz w:val="44"/>
          <w:szCs w:val="44"/>
        </w:rPr>
      </w:pPr>
      <w:r w:rsidRPr="009B2675">
        <w:rPr>
          <w:sz w:val="44"/>
          <w:szCs w:val="44"/>
        </w:rPr>
        <w:t>Survival Analysis of Primary Biliary Cirrhosis Patients Using Kaplan–Meier and Cox Proportional Hazards Models</w:t>
      </w:r>
    </w:p>
    <w:p w14:paraId="187B1225" w14:textId="77777777" w:rsidR="009B2675" w:rsidRPr="009B2675" w:rsidRDefault="009B2675" w:rsidP="009B2675">
      <w:pPr>
        <w:pStyle w:val="BodyText"/>
        <w:jc w:val="left"/>
        <w:rPr>
          <w:sz w:val="20"/>
          <w:szCs w:val="20"/>
        </w:rPr>
      </w:pPr>
      <w:r w:rsidRPr="009B2675">
        <w:rPr>
          <w:sz w:val="20"/>
          <w:szCs w:val="20"/>
        </w:rPr>
        <w:t>PRANTIK DUTTA</w:t>
      </w:r>
    </w:p>
    <w:p w14:paraId="55A44CCE" w14:textId="3B5A7659" w:rsidR="009B2675" w:rsidRPr="009B2675" w:rsidRDefault="009B2675" w:rsidP="009B2675">
      <w:pPr>
        <w:pStyle w:val="BodyText"/>
        <w:jc w:val="left"/>
        <w:rPr>
          <w:sz w:val="20"/>
          <w:szCs w:val="20"/>
        </w:rPr>
      </w:pPr>
      <w:r w:rsidRPr="009B2675">
        <w:rPr>
          <w:sz w:val="20"/>
          <w:szCs w:val="20"/>
        </w:rPr>
        <w:t>M.Sc. STATISTICS AND COMPUTING (BHU)</w:t>
      </w:r>
    </w:p>
    <w:p w14:paraId="0919E395" w14:textId="77777777" w:rsidR="00ED5FE7" w:rsidRDefault="00000000" w:rsidP="009B2675">
      <w:pPr>
        <w:pStyle w:val="AbstractHeading"/>
        <w:jc w:val="left"/>
      </w:pPr>
      <w:r>
        <w:t>Abstract</w:t>
      </w:r>
    </w:p>
    <w:p w14:paraId="413C8772" w14:textId="77777777" w:rsidR="00ED5FE7" w:rsidRDefault="00000000" w:rsidP="009B2675">
      <w:pPr>
        <w:pStyle w:val="AbstractBody"/>
        <w:ind w:left="0"/>
        <w:jc w:val="left"/>
      </w:pPr>
      <w:r>
        <w:t>Survival analysis provides statistical methods for analysing time-to-event data in the presence of censoring. This project applies survival-analysis techniques to the Primary Biliary Cirrhosis (PBC) dataset available in R. The analysis was performed on 312 complete observations after removal of missing values. Death was considered the event of interest, resulting in 125 deaths and 187 censored observations.</w:t>
      </w:r>
    </w:p>
    <w:p w14:paraId="4A2502B8" w14:textId="77777777" w:rsidR="00ED5FE7" w:rsidRDefault="00000000" w:rsidP="009B2675">
      <w:pPr>
        <w:pStyle w:val="AbstractBody"/>
        <w:ind w:left="0"/>
        <w:jc w:val="left"/>
      </w:pPr>
      <w:r>
        <w:t>The Kaplan–Meier estimator was used to estimate the overall survival function and compare survival distributions across treatment, sex, and disease-stage groups. Log-rank tests were subsequently used to formally assess differences between groups. No statistically significant difference was observed between the treatment groups (</w:t>
      </w:r>
      <w:r>
        <w:rPr>
          <w:i/>
          <w:iCs/>
        </w:rPr>
        <w:t>p</w:t>
      </w:r>
      <w:r>
        <w:t> = 0.750), whereas survival differed significantly by sex (</w:t>
      </w:r>
      <w:r>
        <w:rPr>
          <w:i/>
          <w:iCs/>
        </w:rPr>
        <w:t>p</w:t>
      </w:r>
      <w:r>
        <w:t> = 0.039) and very strongly by disease stage (</w:t>
      </w:r>
      <w:r>
        <w:rPr>
          <w:i/>
          <w:iCs/>
        </w:rPr>
        <w:t>p</w:t>
      </w:r>
      <w:r>
        <w:t> &lt; 0.001).</w:t>
      </w:r>
    </w:p>
    <w:p w14:paraId="08E632AD" w14:textId="77777777" w:rsidR="00ED5FE7" w:rsidRDefault="00000000" w:rsidP="009B2675">
      <w:pPr>
        <w:pStyle w:val="AbstractBody"/>
        <w:ind w:left="0"/>
        <w:jc w:val="left"/>
      </w:pPr>
      <w:r>
        <w:t>A multivariable Cox proportional hazards model was then fitted using age, sex, treatment, bilirubin, albumin, edema and disease stage as explanatory variables. Age, sex, bilirubin, albumin, edema and stage 4 showed statistically significant associations with the hazard of death, whereas treatment did not. The model had a concordance of 0.839, indicating strong discrimination.</w:t>
      </w:r>
    </w:p>
    <w:p w14:paraId="0232C48F" w14:textId="77777777" w:rsidR="00ED5FE7" w:rsidRDefault="00000000" w:rsidP="009B2675">
      <w:pPr>
        <w:pStyle w:val="AbstractBody"/>
        <w:ind w:left="0"/>
        <w:jc w:val="left"/>
      </w:pPr>
      <w:r>
        <w:t>However, the global Schoenfeld residual test indicated violation of the proportional hazards assumption (</w:t>
      </w:r>
      <w:r>
        <w:rPr>
          <w:i/>
          <w:iCs/>
        </w:rPr>
        <w:t>p</w:t>
      </w:r>
      <w:r>
        <w:t> = 0.0109), with bilirubin being particularly problematic (</w:t>
      </w:r>
      <w:r>
        <w:rPr>
          <w:i/>
          <w:iCs/>
        </w:rPr>
        <w:t>p</w:t>
      </w:r>
      <w:r>
        <w:t> = 0.0055). Therefore, the Cox model results should be interpreted as associations under a model whose proportional-hazards assumption is not fully satisfied.</w:t>
      </w:r>
    </w:p>
    <w:p w14:paraId="70AB4DC8" w14:textId="77777777" w:rsidR="00ED5FE7" w:rsidRDefault="00000000">
      <w:pPr>
        <w:pStyle w:val="Heading1"/>
      </w:pPr>
      <w:bookmarkStart w:id="0" w:name="introduction"/>
      <w:r>
        <w:t>1. Introduction</w:t>
      </w:r>
    </w:p>
    <w:p w14:paraId="76D3D576" w14:textId="77777777" w:rsidR="00ED5FE7" w:rsidRDefault="00000000">
      <w:pPr>
        <w:pStyle w:val="FirstParagraph"/>
      </w:pPr>
      <w:r>
        <w:t xml:space="preserve">Survival analysis is a statistical methodology designed to study the time until the occurrence of an event of interest. Although the term </w:t>
      </w:r>
      <w:r>
        <w:rPr>
          <w:i/>
          <w:iCs/>
        </w:rPr>
        <w:t>survival</w:t>
      </w:r>
      <w:r>
        <w:t xml:space="preserve"> is commonly associated with death, the methodology is applicable to many time-to-event problems, including disease recurrence, machine failure, customer churn and product failure.</w:t>
      </w:r>
    </w:p>
    <w:p w14:paraId="37B0FEB0" w14:textId="77777777" w:rsidR="00ED5FE7" w:rsidRDefault="00000000">
      <w:pPr>
        <w:pStyle w:val="BodyText"/>
      </w:pPr>
      <w:r>
        <w:t xml:space="preserve">A distinguishing characteristic of survival data is </w:t>
      </w:r>
      <w:r>
        <w:rPr>
          <w:i/>
          <w:iCs/>
        </w:rPr>
        <w:t>censoring</w:t>
      </w:r>
      <w:r>
        <w:t>. Censoring occurs when the event has not been observed for a subject during the available observation period. For example, if a patient remains alive at the end of follow-up, the exact time at which death would occur is unknown. The observation nevertheless contains valuable information because we know that the patient survived at least until the end of follow-up.</w:t>
      </w:r>
    </w:p>
    <w:p w14:paraId="1C27724B" w14:textId="77777777" w:rsidR="00ED5FE7" w:rsidRDefault="00000000">
      <w:pPr>
        <w:pStyle w:val="BodyText"/>
      </w:pPr>
      <w:r>
        <w:lastRenderedPageBreak/>
        <w:t>The PBC dataset contains follow-up information on patients with primary biliary cirrhosis. The original dataset contains 418 observations and 20 variables. The observed follow-up time ranges from 41 to 4795 days, while disease stage ranges from 1 to 4.</w:t>
      </w:r>
    </w:p>
    <w:p w14:paraId="30585E3F" w14:textId="77777777" w:rsidR="00ED5FE7" w:rsidRDefault="00000000">
      <w:pPr>
        <w:pStyle w:val="BodyText"/>
      </w:pPr>
      <w:r>
        <w:t>For this project, the analysis concentrates on survival time and selected clinical and demographic variables: treatment, age, sex, bilirubin, albumin, edema and disease stage.</w:t>
      </w:r>
    </w:p>
    <w:p w14:paraId="492456CD" w14:textId="77777777" w:rsidR="00ED5FE7" w:rsidRDefault="00000000">
      <w:pPr>
        <w:pStyle w:val="BodyText"/>
        <w:keepNext/>
      </w:pPr>
      <w:r>
        <w:t>Three major statistical approaches are employed:</w:t>
      </w:r>
    </w:p>
    <w:p w14:paraId="1222CDFE" w14:textId="77777777" w:rsidR="00ED5FE7" w:rsidRDefault="00000000">
      <w:pPr>
        <w:numPr>
          <w:ilvl w:val="0"/>
          <w:numId w:val="2"/>
        </w:numPr>
        <w:spacing w:after="60" w:line="360" w:lineRule="auto"/>
      </w:pPr>
      <w:r>
        <w:t>Kaplan–Meier estimation — to estimate survival probabilities.</w:t>
      </w:r>
    </w:p>
    <w:p w14:paraId="5C4542BE" w14:textId="77777777" w:rsidR="00ED5FE7" w:rsidRDefault="00000000">
      <w:pPr>
        <w:numPr>
          <w:ilvl w:val="0"/>
          <w:numId w:val="2"/>
        </w:numPr>
        <w:spacing w:after="60" w:line="360" w:lineRule="auto"/>
      </w:pPr>
      <w:r>
        <w:t>Log-rank testing — to compare survival distributions between groups.</w:t>
      </w:r>
    </w:p>
    <w:p w14:paraId="681E5913" w14:textId="77777777" w:rsidR="00ED5FE7" w:rsidRDefault="00000000">
      <w:pPr>
        <w:numPr>
          <w:ilvl w:val="0"/>
          <w:numId w:val="2"/>
        </w:numPr>
        <w:spacing w:after="60" w:line="360" w:lineRule="auto"/>
      </w:pPr>
      <w:r>
        <w:t>Cox proportional hazards regression — to investigate the relationship between patient characteristics and the hazard of death.</w:t>
      </w:r>
    </w:p>
    <w:p w14:paraId="6F4C16E0" w14:textId="77777777" w:rsidR="00ED5FE7" w:rsidRDefault="00000000">
      <w:pPr>
        <w:pStyle w:val="FirstParagraph"/>
      </w:pPr>
      <w:r>
        <w:t>Together, these methods provide a progression from descriptive survival analysis to group comparison and multivariable modelling.</w:t>
      </w:r>
    </w:p>
    <w:p w14:paraId="55167B92" w14:textId="77777777" w:rsidR="00ED5FE7" w:rsidRDefault="00000000">
      <w:pPr>
        <w:pStyle w:val="Heading1"/>
      </w:pPr>
      <w:bookmarkStart w:id="1" w:name="objectives"/>
      <w:bookmarkEnd w:id="0"/>
      <w:r>
        <w:t>2. Objectives</w:t>
      </w:r>
    </w:p>
    <w:p w14:paraId="5A8F74F7" w14:textId="77777777" w:rsidR="00ED5FE7" w:rsidRDefault="00000000">
      <w:pPr>
        <w:pStyle w:val="FirstParagraph"/>
        <w:keepNext/>
      </w:pPr>
      <w:r>
        <w:t>The objectives of the study are:</w:t>
      </w:r>
    </w:p>
    <w:p w14:paraId="4C871B45" w14:textId="77777777" w:rsidR="00ED5FE7" w:rsidRDefault="00000000">
      <w:pPr>
        <w:numPr>
          <w:ilvl w:val="0"/>
          <w:numId w:val="3"/>
        </w:numPr>
        <w:spacing w:after="60" w:line="360" w:lineRule="auto"/>
      </w:pPr>
      <w:r>
        <w:t>To analyse the survival experience of patients with primary biliary cirrhosis.</w:t>
      </w:r>
    </w:p>
    <w:p w14:paraId="762E0359" w14:textId="77777777" w:rsidR="00ED5FE7" w:rsidRDefault="00000000">
      <w:pPr>
        <w:numPr>
          <w:ilvl w:val="0"/>
          <w:numId w:val="3"/>
        </w:numPr>
        <w:spacing w:after="60" w:line="360" w:lineRule="auto"/>
      </w:pPr>
      <w:r>
        <w:t>To estimate the overall survival function using the Kaplan–Meier method.</w:t>
      </w:r>
    </w:p>
    <w:p w14:paraId="5E437301" w14:textId="77777777" w:rsidR="00ED5FE7" w:rsidRDefault="00000000">
      <w:pPr>
        <w:numPr>
          <w:ilvl w:val="0"/>
          <w:numId w:val="3"/>
        </w:numPr>
        <w:spacing w:after="60" w:line="360" w:lineRule="auto"/>
      </w:pPr>
      <w:r>
        <w:t>To compare survival between treatment groups.</w:t>
      </w:r>
    </w:p>
    <w:p w14:paraId="5C9FC900" w14:textId="77777777" w:rsidR="00ED5FE7" w:rsidRDefault="00000000">
      <w:pPr>
        <w:numPr>
          <w:ilvl w:val="0"/>
          <w:numId w:val="3"/>
        </w:numPr>
        <w:spacing w:after="60" w:line="360" w:lineRule="auto"/>
      </w:pPr>
      <w:r>
        <w:t>To examine differences in survival between male and female patients.</w:t>
      </w:r>
    </w:p>
    <w:p w14:paraId="78EEE475" w14:textId="77777777" w:rsidR="00ED5FE7" w:rsidRDefault="00000000">
      <w:pPr>
        <w:numPr>
          <w:ilvl w:val="0"/>
          <w:numId w:val="3"/>
        </w:numPr>
        <w:spacing w:after="60" w:line="360" w:lineRule="auto"/>
      </w:pPr>
      <w:r>
        <w:t>To investigate survival differences across disease stages.</w:t>
      </w:r>
    </w:p>
    <w:p w14:paraId="7FBF4613" w14:textId="77777777" w:rsidR="00ED5FE7" w:rsidRDefault="00000000">
      <w:pPr>
        <w:numPr>
          <w:ilvl w:val="0"/>
          <w:numId w:val="3"/>
        </w:numPr>
        <w:spacing w:after="60" w:line="360" w:lineRule="auto"/>
      </w:pPr>
      <w:r>
        <w:t>To perform log-rank tests for the corresponding group comparisons.</w:t>
      </w:r>
    </w:p>
    <w:p w14:paraId="67F0448E" w14:textId="77777777" w:rsidR="00ED5FE7" w:rsidRDefault="00000000">
      <w:pPr>
        <w:numPr>
          <w:ilvl w:val="0"/>
          <w:numId w:val="3"/>
        </w:numPr>
        <w:spacing w:after="60" w:line="360" w:lineRule="auto"/>
      </w:pPr>
      <w:r>
        <w:t>To identify factors associated with the hazard of death using Cox regression.</w:t>
      </w:r>
    </w:p>
    <w:p w14:paraId="0782ECF5" w14:textId="77777777" w:rsidR="00ED5FE7" w:rsidRDefault="00000000">
      <w:pPr>
        <w:numPr>
          <w:ilvl w:val="0"/>
          <w:numId w:val="3"/>
        </w:numPr>
        <w:spacing w:after="60" w:line="360" w:lineRule="auto"/>
      </w:pPr>
      <w:r>
        <w:t>To estimate hazard ratios and corresponding 95% confidence intervals.</w:t>
      </w:r>
    </w:p>
    <w:p w14:paraId="44C91FA9" w14:textId="77777777" w:rsidR="00ED5FE7" w:rsidRDefault="00000000">
      <w:pPr>
        <w:numPr>
          <w:ilvl w:val="0"/>
          <w:numId w:val="3"/>
        </w:numPr>
        <w:spacing w:after="60" w:line="360" w:lineRule="auto"/>
      </w:pPr>
      <w:r>
        <w:t>To assess the proportional hazards assumption using Schoenfeld residuals.</w:t>
      </w:r>
    </w:p>
    <w:p w14:paraId="72D07A1F" w14:textId="77777777" w:rsidR="00ED5FE7" w:rsidRDefault="00000000">
      <w:pPr>
        <w:numPr>
          <w:ilvl w:val="0"/>
          <w:numId w:val="3"/>
        </w:numPr>
        <w:spacing w:after="60" w:line="360" w:lineRule="auto"/>
      </w:pPr>
      <w:r>
        <w:t>To evaluate the overall performance and limitations of the fitted Cox model.</w:t>
      </w:r>
    </w:p>
    <w:p w14:paraId="42E9EE66" w14:textId="77777777" w:rsidR="00ED5FE7" w:rsidRDefault="00000000">
      <w:pPr>
        <w:pStyle w:val="Heading1"/>
      </w:pPr>
      <w:bookmarkStart w:id="2" w:name="data-description"/>
      <w:bookmarkEnd w:id="1"/>
      <w:r>
        <w:lastRenderedPageBreak/>
        <w:t>3. Data Description</w:t>
      </w:r>
    </w:p>
    <w:p w14:paraId="236B91B4" w14:textId="77777777" w:rsidR="00ED5FE7" w:rsidRDefault="00000000">
      <w:pPr>
        <w:pStyle w:val="FirstParagraph"/>
        <w:keepNext/>
      </w:pPr>
      <w:r>
        <w:t>The original PBC dataset contains 418 patients and 20 variables. The variables selected for the present analysis were:</w:t>
      </w:r>
    </w:p>
    <w:p w14:paraId="70C16747" w14:textId="77777777" w:rsidR="00ED5FE7" w:rsidRDefault="00000000">
      <w:pPr>
        <w:pStyle w:val="TableCaption"/>
      </w:pPr>
      <w:r>
        <w:rPr>
          <w:b/>
          <w:bCs/>
        </w:rPr>
        <w:t>Table 1.</w:t>
      </w:r>
      <w:r>
        <w:t xml:space="preserve"> Variables used in the analysis.</w:t>
      </w:r>
    </w:p>
    <w:tbl>
      <w:tblPr>
        <w:tblStyle w:val="Table"/>
        <w:tblW w:w="7000" w:type="dxa"/>
        <w:jc w:val="center"/>
        <w:tblBorders>
          <w:top w:val="single" w:sz="12" w:space="0" w:color="000000"/>
          <w:left w:val="nil"/>
          <w:bottom w:val="single" w:sz="12" w:space="0" w:color="000000"/>
          <w:right w:val="nil"/>
          <w:insideH w:val="nil"/>
          <w:insideV w:val="nil"/>
        </w:tblBorders>
        <w:tblLayout w:type="fixed"/>
        <w:tblCellMar>
          <w:top w:w="30" w:type="dxa"/>
          <w:left w:w="100" w:type="dxa"/>
          <w:bottom w:w="30" w:type="dxa"/>
          <w:right w:w="100" w:type="dxa"/>
        </w:tblCellMar>
        <w:tblLook w:val="0000" w:firstRow="0" w:lastRow="0" w:firstColumn="0" w:lastColumn="0" w:noHBand="0" w:noVBand="0"/>
      </w:tblPr>
      <w:tblGrid>
        <w:gridCol w:w="2000"/>
        <w:gridCol w:w="5000"/>
      </w:tblGrid>
      <w:tr w:rsidR="00ED5FE7" w14:paraId="6082611A" w14:textId="77777777" w:rsidTr="00ED5FE7">
        <w:trPr>
          <w:cantSplit/>
          <w:tblHeader/>
          <w:jc w:val="center"/>
        </w:trPr>
        <w:tc>
          <w:tcPr>
            <w:tcW w:w="2000" w:type="dxa"/>
            <w:tcBorders>
              <w:bottom w:val="single" w:sz="6" w:space="0" w:color="000000"/>
            </w:tcBorders>
            <w:vAlign w:val="center"/>
          </w:tcPr>
          <w:p w14:paraId="46A3F42C" w14:textId="77777777" w:rsidR="00ED5FE7" w:rsidRDefault="00000000">
            <w:pPr>
              <w:pStyle w:val="Compact"/>
              <w:keepNext/>
            </w:pPr>
            <w:r>
              <w:rPr>
                <w:b/>
              </w:rPr>
              <w:t>Variable</w:t>
            </w:r>
          </w:p>
        </w:tc>
        <w:tc>
          <w:tcPr>
            <w:tcW w:w="5000" w:type="dxa"/>
            <w:tcBorders>
              <w:bottom w:val="single" w:sz="6" w:space="0" w:color="000000"/>
            </w:tcBorders>
            <w:vAlign w:val="center"/>
          </w:tcPr>
          <w:p w14:paraId="1ADB0CAF" w14:textId="77777777" w:rsidR="00ED5FE7" w:rsidRDefault="00000000">
            <w:pPr>
              <w:pStyle w:val="Compact"/>
              <w:keepNext/>
            </w:pPr>
            <w:r>
              <w:rPr>
                <w:b/>
              </w:rPr>
              <w:t>Description</w:t>
            </w:r>
          </w:p>
        </w:tc>
      </w:tr>
      <w:tr w:rsidR="00ED5FE7" w14:paraId="763261F0" w14:textId="77777777" w:rsidTr="00ED5FE7">
        <w:trPr>
          <w:cantSplit/>
          <w:jc w:val="center"/>
        </w:trPr>
        <w:tc>
          <w:tcPr>
            <w:tcW w:w="2000" w:type="dxa"/>
            <w:vAlign w:val="center"/>
          </w:tcPr>
          <w:p w14:paraId="04D3FFE3" w14:textId="77777777" w:rsidR="00ED5FE7" w:rsidRDefault="00000000">
            <w:pPr>
              <w:pStyle w:val="Compact"/>
              <w:keepNext/>
            </w:pPr>
            <w:r>
              <w:rPr>
                <w:rStyle w:val="VerbatimChar"/>
              </w:rPr>
              <w:t>time</w:t>
            </w:r>
          </w:p>
        </w:tc>
        <w:tc>
          <w:tcPr>
            <w:tcW w:w="5000" w:type="dxa"/>
            <w:vAlign w:val="center"/>
          </w:tcPr>
          <w:p w14:paraId="540C47FC" w14:textId="77777777" w:rsidR="00ED5FE7" w:rsidRDefault="00000000">
            <w:pPr>
              <w:pStyle w:val="Compact"/>
              <w:keepNext/>
            </w:pPr>
            <w:r>
              <w:t>Follow-up time in days</w:t>
            </w:r>
          </w:p>
        </w:tc>
      </w:tr>
      <w:tr w:rsidR="00ED5FE7" w14:paraId="18ACAC19" w14:textId="77777777" w:rsidTr="00ED5FE7">
        <w:trPr>
          <w:cantSplit/>
          <w:jc w:val="center"/>
        </w:trPr>
        <w:tc>
          <w:tcPr>
            <w:tcW w:w="2000" w:type="dxa"/>
            <w:vAlign w:val="center"/>
          </w:tcPr>
          <w:p w14:paraId="05E43AC3" w14:textId="77777777" w:rsidR="00ED5FE7" w:rsidRDefault="00000000">
            <w:pPr>
              <w:pStyle w:val="Compact"/>
              <w:keepNext/>
            </w:pPr>
            <w:r>
              <w:rPr>
                <w:rStyle w:val="VerbatimChar"/>
              </w:rPr>
              <w:t>status</w:t>
            </w:r>
          </w:p>
        </w:tc>
        <w:tc>
          <w:tcPr>
            <w:tcW w:w="5000" w:type="dxa"/>
            <w:vAlign w:val="center"/>
          </w:tcPr>
          <w:p w14:paraId="1FAF0702" w14:textId="77777777" w:rsidR="00ED5FE7" w:rsidRDefault="00000000">
            <w:pPr>
              <w:pStyle w:val="Compact"/>
              <w:keepNext/>
            </w:pPr>
            <w:r>
              <w:t>Original patient outcome</w:t>
            </w:r>
          </w:p>
        </w:tc>
      </w:tr>
      <w:tr w:rsidR="00ED5FE7" w14:paraId="72061CA1" w14:textId="77777777" w:rsidTr="00ED5FE7">
        <w:trPr>
          <w:cantSplit/>
          <w:jc w:val="center"/>
        </w:trPr>
        <w:tc>
          <w:tcPr>
            <w:tcW w:w="2000" w:type="dxa"/>
            <w:vAlign w:val="center"/>
          </w:tcPr>
          <w:p w14:paraId="335302CA" w14:textId="77777777" w:rsidR="00ED5FE7" w:rsidRDefault="00000000">
            <w:pPr>
              <w:pStyle w:val="Compact"/>
              <w:keepNext/>
            </w:pPr>
            <w:r>
              <w:rPr>
                <w:rStyle w:val="VerbatimChar"/>
              </w:rPr>
              <w:t>trt</w:t>
            </w:r>
          </w:p>
        </w:tc>
        <w:tc>
          <w:tcPr>
            <w:tcW w:w="5000" w:type="dxa"/>
            <w:vAlign w:val="center"/>
          </w:tcPr>
          <w:p w14:paraId="129ED2B5" w14:textId="77777777" w:rsidR="00ED5FE7" w:rsidRDefault="00000000">
            <w:pPr>
              <w:pStyle w:val="Compact"/>
              <w:keepNext/>
            </w:pPr>
            <w:r>
              <w:t>Treatment group</w:t>
            </w:r>
          </w:p>
        </w:tc>
      </w:tr>
      <w:tr w:rsidR="00ED5FE7" w14:paraId="186623F3" w14:textId="77777777" w:rsidTr="00ED5FE7">
        <w:trPr>
          <w:cantSplit/>
          <w:jc w:val="center"/>
        </w:trPr>
        <w:tc>
          <w:tcPr>
            <w:tcW w:w="2000" w:type="dxa"/>
            <w:vAlign w:val="center"/>
          </w:tcPr>
          <w:p w14:paraId="6F853323" w14:textId="77777777" w:rsidR="00ED5FE7" w:rsidRDefault="00000000">
            <w:pPr>
              <w:pStyle w:val="Compact"/>
              <w:keepNext/>
            </w:pPr>
            <w:r>
              <w:rPr>
                <w:rStyle w:val="VerbatimChar"/>
              </w:rPr>
              <w:t>age</w:t>
            </w:r>
          </w:p>
        </w:tc>
        <w:tc>
          <w:tcPr>
            <w:tcW w:w="5000" w:type="dxa"/>
            <w:vAlign w:val="center"/>
          </w:tcPr>
          <w:p w14:paraId="6407C039" w14:textId="77777777" w:rsidR="00ED5FE7" w:rsidRDefault="00000000">
            <w:pPr>
              <w:pStyle w:val="Compact"/>
              <w:keepNext/>
            </w:pPr>
            <w:r>
              <w:t>Patient age</w:t>
            </w:r>
          </w:p>
        </w:tc>
      </w:tr>
      <w:tr w:rsidR="00ED5FE7" w14:paraId="31BAD0B7" w14:textId="77777777" w:rsidTr="00ED5FE7">
        <w:trPr>
          <w:cantSplit/>
          <w:jc w:val="center"/>
        </w:trPr>
        <w:tc>
          <w:tcPr>
            <w:tcW w:w="2000" w:type="dxa"/>
            <w:vAlign w:val="center"/>
          </w:tcPr>
          <w:p w14:paraId="217DE191" w14:textId="77777777" w:rsidR="00ED5FE7" w:rsidRDefault="00000000">
            <w:pPr>
              <w:pStyle w:val="Compact"/>
              <w:keepNext/>
            </w:pPr>
            <w:r>
              <w:rPr>
                <w:rStyle w:val="VerbatimChar"/>
              </w:rPr>
              <w:t>sex</w:t>
            </w:r>
          </w:p>
        </w:tc>
        <w:tc>
          <w:tcPr>
            <w:tcW w:w="5000" w:type="dxa"/>
            <w:vAlign w:val="center"/>
          </w:tcPr>
          <w:p w14:paraId="75434BAB" w14:textId="77777777" w:rsidR="00ED5FE7" w:rsidRDefault="00000000">
            <w:pPr>
              <w:pStyle w:val="Compact"/>
              <w:keepNext/>
            </w:pPr>
            <w:r>
              <w:t>Sex</w:t>
            </w:r>
          </w:p>
        </w:tc>
      </w:tr>
      <w:tr w:rsidR="00ED5FE7" w14:paraId="3F9458AF" w14:textId="77777777" w:rsidTr="00ED5FE7">
        <w:trPr>
          <w:cantSplit/>
          <w:jc w:val="center"/>
        </w:trPr>
        <w:tc>
          <w:tcPr>
            <w:tcW w:w="2000" w:type="dxa"/>
            <w:vAlign w:val="center"/>
          </w:tcPr>
          <w:p w14:paraId="66E5BE0A" w14:textId="77777777" w:rsidR="00ED5FE7" w:rsidRDefault="00000000">
            <w:pPr>
              <w:pStyle w:val="Compact"/>
              <w:keepNext/>
            </w:pPr>
            <w:r>
              <w:rPr>
                <w:rStyle w:val="VerbatimChar"/>
              </w:rPr>
              <w:t>bili</w:t>
            </w:r>
          </w:p>
        </w:tc>
        <w:tc>
          <w:tcPr>
            <w:tcW w:w="5000" w:type="dxa"/>
            <w:vAlign w:val="center"/>
          </w:tcPr>
          <w:p w14:paraId="16B8835E" w14:textId="77777777" w:rsidR="00ED5FE7" w:rsidRDefault="00000000">
            <w:pPr>
              <w:pStyle w:val="Compact"/>
              <w:keepNext/>
            </w:pPr>
            <w:r>
              <w:t>Serum bilirubin</w:t>
            </w:r>
          </w:p>
        </w:tc>
      </w:tr>
      <w:tr w:rsidR="00ED5FE7" w14:paraId="45D6E93B" w14:textId="77777777" w:rsidTr="00ED5FE7">
        <w:trPr>
          <w:cantSplit/>
          <w:jc w:val="center"/>
        </w:trPr>
        <w:tc>
          <w:tcPr>
            <w:tcW w:w="2000" w:type="dxa"/>
            <w:vAlign w:val="center"/>
          </w:tcPr>
          <w:p w14:paraId="391AF982" w14:textId="77777777" w:rsidR="00ED5FE7" w:rsidRDefault="00000000">
            <w:pPr>
              <w:pStyle w:val="Compact"/>
              <w:keepNext/>
            </w:pPr>
            <w:r>
              <w:rPr>
                <w:rStyle w:val="VerbatimChar"/>
              </w:rPr>
              <w:t>albumin</w:t>
            </w:r>
          </w:p>
        </w:tc>
        <w:tc>
          <w:tcPr>
            <w:tcW w:w="5000" w:type="dxa"/>
            <w:vAlign w:val="center"/>
          </w:tcPr>
          <w:p w14:paraId="5AE2B216" w14:textId="77777777" w:rsidR="00ED5FE7" w:rsidRDefault="00000000">
            <w:pPr>
              <w:pStyle w:val="Compact"/>
              <w:keepNext/>
            </w:pPr>
            <w:r>
              <w:t>Serum albumin</w:t>
            </w:r>
          </w:p>
        </w:tc>
      </w:tr>
      <w:tr w:rsidR="00ED5FE7" w14:paraId="2C5AE780" w14:textId="77777777" w:rsidTr="00ED5FE7">
        <w:trPr>
          <w:cantSplit/>
          <w:jc w:val="center"/>
        </w:trPr>
        <w:tc>
          <w:tcPr>
            <w:tcW w:w="2000" w:type="dxa"/>
            <w:vAlign w:val="center"/>
          </w:tcPr>
          <w:p w14:paraId="60BE6435" w14:textId="77777777" w:rsidR="00ED5FE7" w:rsidRDefault="00000000">
            <w:pPr>
              <w:pStyle w:val="Compact"/>
              <w:keepNext/>
            </w:pPr>
            <w:r>
              <w:rPr>
                <w:rStyle w:val="VerbatimChar"/>
              </w:rPr>
              <w:t>edema</w:t>
            </w:r>
          </w:p>
        </w:tc>
        <w:tc>
          <w:tcPr>
            <w:tcW w:w="5000" w:type="dxa"/>
            <w:vAlign w:val="center"/>
          </w:tcPr>
          <w:p w14:paraId="0317350D" w14:textId="77777777" w:rsidR="00ED5FE7" w:rsidRDefault="00000000">
            <w:pPr>
              <w:pStyle w:val="Compact"/>
              <w:keepNext/>
            </w:pPr>
            <w:r>
              <w:t>Edema status</w:t>
            </w:r>
          </w:p>
        </w:tc>
      </w:tr>
      <w:tr w:rsidR="00ED5FE7" w14:paraId="3C4050B4" w14:textId="77777777" w:rsidTr="00ED5FE7">
        <w:trPr>
          <w:cantSplit/>
          <w:jc w:val="center"/>
        </w:trPr>
        <w:tc>
          <w:tcPr>
            <w:tcW w:w="2000" w:type="dxa"/>
            <w:vAlign w:val="center"/>
          </w:tcPr>
          <w:p w14:paraId="366FE0AF" w14:textId="77777777" w:rsidR="00ED5FE7" w:rsidRDefault="00000000">
            <w:pPr>
              <w:pStyle w:val="Compact"/>
            </w:pPr>
            <w:r>
              <w:rPr>
                <w:rStyle w:val="VerbatimChar"/>
              </w:rPr>
              <w:t>stage</w:t>
            </w:r>
          </w:p>
        </w:tc>
        <w:tc>
          <w:tcPr>
            <w:tcW w:w="5000" w:type="dxa"/>
            <w:vAlign w:val="center"/>
          </w:tcPr>
          <w:p w14:paraId="7D0B797B" w14:textId="77777777" w:rsidR="00ED5FE7" w:rsidRDefault="00000000">
            <w:pPr>
              <w:pStyle w:val="Compact"/>
            </w:pPr>
            <w:r>
              <w:t>Disease stage</w:t>
            </w:r>
          </w:p>
        </w:tc>
      </w:tr>
    </w:tbl>
    <w:p w14:paraId="0A64EE53" w14:textId="77777777" w:rsidR="00ED5FE7" w:rsidRDefault="00000000">
      <w:pPr>
        <w:pStyle w:val="BodyText"/>
        <w:keepNext/>
        <w:spacing w:before="240"/>
      </w:pPr>
      <w:r>
        <w:t xml:space="preserve">The original </w:t>
      </w:r>
      <w:r>
        <w:rPr>
          <w:rStyle w:val="VerbatimChar"/>
        </w:rPr>
        <w:t>status</w:t>
      </w:r>
      <w:r>
        <w:t xml:space="preserve"> variable was coded as:</w:t>
      </w:r>
    </w:p>
    <w:p w14:paraId="5D178CF7" w14:textId="77777777" w:rsidR="00ED5FE7" w:rsidRDefault="00000000">
      <w:pPr>
        <w:numPr>
          <w:ilvl w:val="0"/>
          <w:numId w:val="4"/>
        </w:numPr>
        <w:spacing w:after="60" w:line="360" w:lineRule="auto"/>
      </w:pPr>
      <w:r>
        <w:t>0 = censored</w:t>
      </w:r>
    </w:p>
    <w:p w14:paraId="6B87BD04" w14:textId="77777777" w:rsidR="00ED5FE7" w:rsidRDefault="00000000">
      <w:pPr>
        <w:numPr>
          <w:ilvl w:val="0"/>
          <w:numId w:val="4"/>
        </w:numPr>
        <w:spacing w:after="60" w:line="360" w:lineRule="auto"/>
      </w:pPr>
      <w:r>
        <w:t>1 = transplant</w:t>
      </w:r>
    </w:p>
    <w:p w14:paraId="516B21C3" w14:textId="77777777" w:rsidR="00ED5FE7" w:rsidRDefault="00000000">
      <w:pPr>
        <w:numPr>
          <w:ilvl w:val="0"/>
          <w:numId w:val="4"/>
        </w:numPr>
        <w:spacing w:after="60" w:line="360" w:lineRule="auto"/>
      </w:pPr>
      <w:r>
        <w:t>2 = death</w:t>
      </w:r>
    </w:p>
    <w:p w14:paraId="15FB117B" w14:textId="77777777" w:rsidR="00ED5FE7" w:rsidRDefault="00000000">
      <w:pPr>
        <w:pStyle w:val="FirstParagraph"/>
        <w:keepNext/>
      </w:pPr>
      <w:r>
        <w:t xml:space="preserve">For this project, a new binary variable </w:t>
      </w:r>
      <w:r>
        <w:rPr>
          <w:rStyle w:val="VerbatimChar"/>
        </w:rPr>
        <w:t>status_death</w:t>
      </w:r>
      <w:r>
        <w:t xml:space="preserve"> was created:</w:t>
      </w:r>
    </w:p>
    <w:p w14:paraId="5BDA54C7" w14:textId="77777777" w:rsidR="00ED5FE7" w:rsidRDefault="00000000">
      <w:pPr>
        <w:numPr>
          <w:ilvl w:val="0"/>
          <w:numId w:val="5"/>
        </w:numPr>
        <w:spacing w:after="60" w:line="360" w:lineRule="auto"/>
      </w:pPr>
      <w:r>
        <w:t>0 = censored</w:t>
      </w:r>
    </w:p>
    <w:p w14:paraId="61F33FDD" w14:textId="77777777" w:rsidR="00ED5FE7" w:rsidRDefault="00000000">
      <w:pPr>
        <w:numPr>
          <w:ilvl w:val="0"/>
          <w:numId w:val="5"/>
        </w:numPr>
        <w:spacing w:after="60" w:line="360" w:lineRule="auto"/>
      </w:pPr>
      <w:r>
        <w:t>1 = death</w:t>
      </w:r>
    </w:p>
    <w:p w14:paraId="03FD6EAF" w14:textId="77777777" w:rsidR="009B2675" w:rsidRDefault="00000000" w:rsidP="009B2675">
      <w:pPr>
        <w:pStyle w:val="FirstParagraph"/>
      </w:pPr>
      <w:r>
        <w:t>Thus, transplant observations were treated as censored.</w:t>
      </w:r>
      <w:bookmarkStart w:id="3" w:name="important-methodological-limitation"/>
    </w:p>
    <w:p w14:paraId="516F4E9C" w14:textId="17DC92EE" w:rsidR="00ED5FE7" w:rsidRDefault="00000000" w:rsidP="009B2675">
      <w:pPr>
        <w:pStyle w:val="FirstParagraph"/>
      </w:pPr>
      <w:r>
        <w:t>Important methodological limitation</w:t>
      </w:r>
    </w:p>
    <w:p w14:paraId="362786D9" w14:textId="77777777" w:rsidR="00ED5FE7" w:rsidRDefault="00000000">
      <w:pPr>
        <w:pStyle w:val="FirstParagraph"/>
      </w:pPr>
      <w:r>
        <w:t xml:space="preserve">This treatment of transplantation as censoring is a simplification. In a more advanced survival analysis, transplantation can be considered a </w:t>
      </w:r>
      <w:r>
        <w:rPr>
          <w:i/>
          <w:iCs/>
        </w:rPr>
        <w:t>competing risk</w:t>
      </w:r>
      <w:r>
        <w:t>, because transplantation changes the subsequent risk of death and prevents observation of death under the original disease pathway.</w:t>
      </w:r>
    </w:p>
    <w:p w14:paraId="256CF3F2" w14:textId="77777777" w:rsidR="00ED5FE7" w:rsidRDefault="00000000">
      <w:pPr>
        <w:pStyle w:val="BodyText"/>
      </w:pPr>
      <w:r>
        <w:t>Therefore, the present analysis should be understood as a conventional time-to-death analysis rather than a competing-risks analysis.</w:t>
      </w:r>
    </w:p>
    <w:p w14:paraId="5FD75ED5" w14:textId="77777777" w:rsidR="00ED5FE7" w:rsidRDefault="00000000">
      <w:pPr>
        <w:pStyle w:val="Heading1"/>
      </w:pPr>
      <w:bookmarkStart w:id="4" w:name="data-pre-processing"/>
      <w:bookmarkEnd w:id="2"/>
      <w:bookmarkEnd w:id="3"/>
      <w:r>
        <w:lastRenderedPageBreak/>
        <w:t>4. Data Pre-processing</w:t>
      </w:r>
    </w:p>
    <w:p w14:paraId="645DFC00" w14:textId="77777777" w:rsidR="00ED5FE7" w:rsidRDefault="00000000">
      <w:pPr>
        <w:pStyle w:val="FirstParagraph"/>
      </w:pPr>
      <w:r>
        <w:t>Missing observations were removed using complete-case analysis.</w:t>
      </w:r>
    </w:p>
    <w:p w14:paraId="0499780D" w14:textId="77777777" w:rsidR="00ED5FE7" w:rsidRDefault="00000000">
      <w:pPr>
        <w:pStyle w:val="BodyText"/>
        <w:keepNext/>
      </w:pPr>
      <w:r>
        <w:t xml:space="preserve">After preprocessing, </w:t>
      </w:r>
      <w:r>
        <w:rPr>
          <w:i/>
          <w:iCs/>
        </w:rPr>
        <w:t>n</w:t>
      </w:r>
      <w:r>
        <w:t> = 312 patients remained in the analysis. Among these:</w:t>
      </w:r>
    </w:p>
    <w:p w14:paraId="0E9F3B5B" w14:textId="77777777" w:rsidR="00ED5FE7" w:rsidRDefault="00000000">
      <w:pPr>
        <w:numPr>
          <w:ilvl w:val="0"/>
          <w:numId w:val="6"/>
        </w:numPr>
        <w:spacing w:after="60" w:line="360" w:lineRule="auto"/>
      </w:pPr>
      <w:r>
        <w:t>125 patients experienced death</w:t>
      </w:r>
    </w:p>
    <w:p w14:paraId="0DB4C11E" w14:textId="77777777" w:rsidR="00ED5FE7" w:rsidRDefault="00000000">
      <w:pPr>
        <w:numPr>
          <w:ilvl w:val="0"/>
          <w:numId w:val="6"/>
        </w:numPr>
        <w:spacing w:after="60" w:line="360" w:lineRule="auto"/>
      </w:pPr>
      <w:r>
        <w:t>187 patients were censored</w:t>
      </w:r>
    </w:p>
    <w:p w14:paraId="6A615212" w14:textId="77777777" w:rsidR="00ED5FE7" w:rsidRDefault="00000000">
      <w:pPr>
        <w:pStyle w:val="FirstParagraph"/>
        <w:keepNext/>
      </w:pPr>
      <w:r>
        <w:t>The corresponding percentages were:</w:t>
      </w:r>
    </w:p>
    <w:p w14:paraId="329662E4" w14:textId="77777777" w:rsidR="00ED5FE7" w:rsidRDefault="00000000">
      <w:pPr>
        <w:pStyle w:val="EquationDisplay"/>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w:rPr>
                        <w:rFonts w:ascii="Cambria Math" w:hAnsi="Cambria Math"/>
                      </w:rPr>
                      <m:t>125</m:t>
                    </m:r>
                  </m:num>
                  <m:den>
                    <m:r>
                      <w:rPr>
                        <w:rFonts w:ascii="Cambria Math" w:hAnsi="Cambria Math"/>
                      </w:rPr>
                      <m:t>312</m:t>
                    </m:r>
                  </m:den>
                </m:f>
                <m:r>
                  <m:rPr>
                    <m:sty m:val="p"/>
                  </m:rPr>
                  <w:rPr>
                    <w:rFonts w:ascii="Cambria Math" w:hAnsi="Cambria Math"/>
                  </w:rPr>
                  <m:t>×</m:t>
                </m:r>
                <m:r>
                  <w:rPr>
                    <w:rFonts w:ascii="Cambria Math" w:hAnsi="Cambria Math"/>
                  </w:rPr>
                  <m:t>100</m:t>
                </m:r>
              </m:e>
              <m:e>
                <m:r>
                  <m:rPr>
                    <m:sty m:val="p"/>
                  </m:rPr>
                  <w:rPr>
                    <w:rFonts w:ascii="Cambria Math" w:hAnsi="Cambria Math"/>
                  </w:rPr>
                  <m:t>=</m:t>
                </m:r>
                <m:r>
                  <w:rPr>
                    <w:rFonts w:ascii="Cambria Math" w:hAnsi="Cambria Math"/>
                  </w:rPr>
                  <m:t>40.06</m:t>
                </m:r>
                <m:r>
                  <m:rPr>
                    <m:sty m:val="p"/>
                  </m:rPr>
                  <w:rPr>
                    <w:rFonts w:ascii="Cambria Math" w:hAnsi="Cambria Math"/>
                  </w:rPr>
                  <m:t>%</m:t>
                </m:r>
              </m:e>
            </m:mr>
            <m:mr>
              <m:e>
                <m:f>
                  <m:fPr>
                    <m:ctrlPr>
                      <w:rPr>
                        <w:rFonts w:ascii="Cambria Math" w:hAnsi="Cambria Math"/>
                      </w:rPr>
                    </m:ctrlPr>
                  </m:fPr>
                  <m:num>
                    <m:r>
                      <w:rPr>
                        <w:rFonts w:ascii="Cambria Math" w:hAnsi="Cambria Math"/>
                      </w:rPr>
                      <m:t>187</m:t>
                    </m:r>
                  </m:num>
                  <m:den>
                    <m:r>
                      <w:rPr>
                        <w:rFonts w:ascii="Cambria Math" w:hAnsi="Cambria Math"/>
                      </w:rPr>
                      <m:t>312</m:t>
                    </m:r>
                  </m:den>
                </m:f>
                <m:r>
                  <m:rPr>
                    <m:sty m:val="p"/>
                  </m:rPr>
                  <w:rPr>
                    <w:rFonts w:ascii="Cambria Math" w:hAnsi="Cambria Math"/>
                  </w:rPr>
                  <m:t>×</m:t>
                </m:r>
                <m:r>
                  <w:rPr>
                    <w:rFonts w:ascii="Cambria Math" w:hAnsi="Cambria Math"/>
                  </w:rPr>
                  <m:t>100</m:t>
                </m:r>
              </m:e>
              <m:e>
                <m:r>
                  <m:rPr>
                    <m:sty m:val="p"/>
                  </m:rPr>
                  <w:rPr>
                    <w:rFonts w:ascii="Cambria Math" w:hAnsi="Cambria Math"/>
                  </w:rPr>
                  <m:t>=</m:t>
                </m:r>
                <m:r>
                  <w:rPr>
                    <w:rFonts w:ascii="Cambria Math" w:hAnsi="Cambria Math"/>
                  </w:rPr>
                  <m:t>59.9</m:t>
                </m:r>
                <m:r>
                  <m:rPr>
                    <m:sty m:val="p"/>
                  </m:rPr>
                  <w:rPr>
                    <w:rFonts w:ascii="Cambria Math" w:hAnsi="Cambria Math"/>
                  </w:rPr>
                  <m:t>%</m:t>
                </m:r>
              </m:e>
            </m:mr>
          </m:m>
        </m:oMath>
      </m:oMathPara>
    </w:p>
    <w:p w14:paraId="4E5CA350" w14:textId="77777777" w:rsidR="00ED5FE7" w:rsidRDefault="00000000">
      <w:pPr>
        <w:pStyle w:val="FirstParagraph"/>
      </w:pPr>
      <w:r>
        <w:t>Thus, approximately 40.1% of the analytical sample experienced the event, while approximately 59.9% were censored.</w:t>
      </w:r>
    </w:p>
    <w:p w14:paraId="52F20FC6" w14:textId="77777777" w:rsidR="00ED5FE7" w:rsidRDefault="00000000">
      <w:pPr>
        <w:pStyle w:val="BodyText"/>
      </w:pPr>
      <w:r>
        <w:t>The final sample consisted of 158 patients in Treatment 1 and 154 patients in Treatment 2. There were 36 males and 276 females. Disease-stage frequencies were 16, 67, 120 and 109 for stages 1 through 4 respectively.</w:t>
      </w:r>
    </w:p>
    <w:p w14:paraId="2B54055C" w14:textId="77777777" w:rsidR="00ED5FE7" w:rsidRDefault="00000000">
      <w:pPr>
        <w:pStyle w:val="Heading1"/>
      </w:pPr>
      <w:bookmarkStart w:id="5" w:name="exploratory-data-analysis"/>
      <w:bookmarkEnd w:id="4"/>
      <w:r>
        <w:t>5. Exploratory Data Analysis</w:t>
      </w:r>
    </w:p>
    <w:p w14:paraId="515E5983" w14:textId="77777777" w:rsidR="00ED5FE7" w:rsidRDefault="00000000">
      <w:pPr>
        <w:pStyle w:val="FirstParagraph"/>
        <w:keepNext/>
      </w:pPr>
      <w:r>
        <w:t>Histograms were generated for:</w:t>
      </w:r>
    </w:p>
    <w:p w14:paraId="2B9CCE2F" w14:textId="77777777" w:rsidR="00ED5FE7" w:rsidRDefault="00000000">
      <w:pPr>
        <w:numPr>
          <w:ilvl w:val="0"/>
          <w:numId w:val="7"/>
        </w:numPr>
        <w:spacing w:after="60" w:line="360" w:lineRule="auto"/>
      </w:pPr>
      <w:r>
        <w:t>Age</w:t>
      </w:r>
    </w:p>
    <w:p w14:paraId="399EA183" w14:textId="77777777" w:rsidR="00ED5FE7" w:rsidRDefault="00000000">
      <w:pPr>
        <w:numPr>
          <w:ilvl w:val="0"/>
          <w:numId w:val="7"/>
        </w:numPr>
        <w:spacing w:after="60" w:line="360" w:lineRule="auto"/>
      </w:pPr>
      <w:r>
        <w:t>Bilirubin</w:t>
      </w:r>
    </w:p>
    <w:p w14:paraId="15A70086" w14:textId="77777777" w:rsidR="00ED5FE7" w:rsidRDefault="00000000">
      <w:pPr>
        <w:numPr>
          <w:ilvl w:val="0"/>
          <w:numId w:val="7"/>
        </w:numPr>
        <w:spacing w:after="60" w:line="360" w:lineRule="auto"/>
      </w:pPr>
      <w:r>
        <w:t>Albumin</w:t>
      </w:r>
    </w:p>
    <w:p w14:paraId="6B04850F" w14:textId="2B09713B" w:rsidR="009B2675" w:rsidRDefault="009B2675" w:rsidP="009B2675">
      <w:pPr>
        <w:spacing w:after="60" w:line="360" w:lineRule="auto"/>
      </w:pPr>
      <w:r>
        <w:rPr>
          <w:noProof/>
        </w:rPr>
        <w:drawing>
          <wp:inline distT="0" distB="0" distL="0" distR="0" wp14:anchorId="524866E7" wp14:editId="7A275AEE">
            <wp:extent cx="5759450" cy="2818765"/>
            <wp:effectExtent l="0" t="0" r="0" b="0"/>
            <wp:docPr id="177351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5205" cy="2831370"/>
                    </a:xfrm>
                    <a:prstGeom prst="rect">
                      <a:avLst/>
                    </a:prstGeom>
                    <a:noFill/>
                  </pic:spPr>
                </pic:pic>
              </a:graphicData>
            </a:graphic>
          </wp:inline>
        </w:drawing>
      </w:r>
    </w:p>
    <w:p w14:paraId="42CBD7AA" w14:textId="77777777" w:rsidR="00ED5FE7" w:rsidRDefault="00000000">
      <w:pPr>
        <w:pStyle w:val="FirstParagraph"/>
      </w:pPr>
      <w:r>
        <w:lastRenderedPageBreak/>
        <w:t>These plots were used to understand the distributions of important continuous covariates before survival modelling.</w:t>
      </w:r>
    </w:p>
    <w:p w14:paraId="211D7D6F" w14:textId="77777777" w:rsidR="00ED5FE7" w:rsidRDefault="00000000">
      <w:pPr>
        <w:pStyle w:val="BodyText"/>
      </w:pPr>
      <w:r>
        <w:t>The descriptive statistics show that the mean age in the analytical sample was approximately 50.02 years, while the median age was approximately 49.79 years. Bilirubin had a mean of approximately 3.26, and albumin had a mean of approximately 3.52.</w:t>
      </w:r>
    </w:p>
    <w:p w14:paraId="0361DBA7" w14:textId="77777777" w:rsidR="00ED5FE7" w:rsidRDefault="00000000">
      <w:pPr>
        <w:pStyle w:val="Heading1"/>
      </w:pPr>
      <w:bookmarkStart w:id="6" w:name="survival-analysis"/>
      <w:bookmarkEnd w:id="5"/>
      <w:r>
        <w:t>6. Survival Analysis</w:t>
      </w:r>
    </w:p>
    <w:p w14:paraId="5C343E5A" w14:textId="77777777" w:rsidR="00ED5FE7" w:rsidRDefault="00000000">
      <w:pPr>
        <w:pStyle w:val="Heading2"/>
      </w:pPr>
      <w:bookmarkStart w:id="7" w:name="survival-function"/>
      <w:r>
        <w:t>6.1 Survival Function</w:t>
      </w:r>
    </w:p>
    <w:p w14:paraId="5B48F4BC" w14:textId="77777777" w:rsidR="00ED5FE7" w:rsidRDefault="00000000">
      <w:pPr>
        <w:pStyle w:val="FirstParagraph"/>
      </w:pPr>
      <w:r>
        <w:t>The survival function is defined as</w:t>
      </w:r>
    </w:p>
    <w:tbl>
      <w:tblPr>
        <w:tblStyle w:val="Table"/>
        <w:tblW w:w="9026"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7"/>
        <w:gridCol w:w="7892"/>
        <w:gridCol w:w="567"/>
      </w:tblGrid>
      <w:tr w:rsidR="00ED5FE7" w14:paraId="021B35BC" w14:textId="77777777" w:rsidTr="00ED5FE7">
        <w:trPr>
          <w:cantSplit/>
          <w:jc w:val="center"/>
        </w:trPr>
        <w:tc>
          <w:tcPr>
            <w:tcW w:w="567" w:type="dxa"/>
            <w:vAlign w:val="center"/>
          </w:tcPr>
          <w:p w14:paraId="18E1BBAC" w14:textId="77777777" w:rsidR="00ED5FE7" w:rsidRDefault="00ED5FE7">
            <w:pPr>
              <w:pStyle w:val="EquationNumber"/>
            </w:pPr>
          </w:p>
        </w:tc>
        <w:tc>
          <w:tcPr>
            <w:tcW w:w="7892" w:type="dxa"/>
            <w:vAlign w:val="center"/>
          </w:tcPr>
          <w:p w14:paraId="26E97420" w14:textId="77777777" w:rsidR="00ED5FE7" w:rsidRDefault="00000000">
            <w:pPr>
              <w:pStyle w:val="EquationDisplay"/>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&gt;</m:t>
                    </m:r>
                    <m:r>
                      <w:rPr>
                        <w:rFonts w:ascii="Cambria Math" w:hAnsi="Cambria Math"/>
                      </w:rPr>
                      <m:t>t</m:t>
                    </m:r>
                  </m:e>
                </m:d>
              </m:oMath>
            </m:oMathPara>
          </w:p>
        </w:tc>
        <w:tc>
          <w:tcPr>
            <w:tcW w:w="567" w:type="dxa"/>
            <w:vAlign w:val="center"/>
          </w:tcPr>
          <w:p w14:paraId="6518C3C4" w14:textId="77777777" w:rsidR="00ED5FE7" w:rsidRDefault="00000000">
            <w:pPr>
              <w:pStyle w:val="EquationNumber"/>
            </w:pPr>
            <w:r>
              <w:t>(1)</w:t>
            </w:r>
          </w:p>
        </w:tc>
      </w:tr>
    </w:tbl>
    <w:p w14:paraId="68E9269D" w14:textId="77777777" w:rsidR="00ED5FE7" w:rsidRDefault="00000000">
      <w:pPr>
        <w:pStyle w:val="FirstParagraph"/>
      </w:pPr>
      <w:r>
        <w:t xml:space="preserve">where </w:t>
      </w:r>
      <m:oMath>
        <m:r>
          <w:rPr>
            <w:rFonts w:ascii="Cambria Math" w:hAnsi="Cambria Math"/>
          </w:rPr>
          <m:t>T</m:t>
        </m:r>
      </m:oMath>
      <w:r>
        <w:t xml:space="preserve"> represents the time until death.</w:t>
      </w:r>
    </w:p>
    <w:p w14:paraId="537B5384" w14:textId="77777777" w:rsidR="00ED5FE7" w:rsidRDefault="00000000">
      <w:pPr>
        <w:pStyle w:val="BodyText"/>
      </w:pPr>
      <w:r>
        <w:t xml:space="preserve">Thus, </w:t>
      </w:r>
      <m:oMath>
        <m:r>
          <w:rPr>
            <w:rFonts w:ascii="Cambria Math" w:hAnsi="Cambria Math"/>
          </w:rPr>
          <m:t>S</m:t>
        </m:r>
        <m:d>
          <m:dPr>
            <m:ctrlPr>
              <w:rPr>
                <w:rFonts w:ascii="Cambria Math" w:hAnsi="Cambria Math"/>
              </w:rPr>
            </m:ctrlPr>
          </m:dPr>
          <m:e>
            <m:r>
              <w:rPr>
                <w:rFonts w:ascii="Cambria Math" w:hAnsi="Cambria Math"/>
              </w:rPr>
              <m:t>t</m:t>
            </m:r>
          </m:e>
        </m:d>
      </m:oMath>
      <w:r>
        <w:t xml:space="preserve"> represents the probability that an individual survives beyond time </w:t>
      </w:r>
      <m:oMath>
        <m:r>
          <w:rPr>
            <w:rFonts w:ascii="Cambria Math" w:hAnsi="Cambria Math"/>
          </w:rPr>
          <m:t>t</m:t>
        </m:r>
      </m:oMath>
      <w:r>
        <w:t>.</w:t>
      </w:r>
    </w:p>
    <w:p w14:paraId="3D3FD0CF" w14:textId="77777777" w:rsidR="00ED5FE7" w:rsidRDefault="00000000">
      <w:pPr>
        <w:pStyle w:val="BodyText"/>
      </w:pPr>
      <w:r>
        <w:t xml:space="preserve">For example, if </w:t>
      </w:r>
      <m:oMath>
        <m:r>
          <w:rPr>
            <w:rFonts w:ascii="Cambria Math" w:hAnsi="Cambria Math"/>
          </w:rPr>
          <m:t>S</m:t>
        </m:r>
        <m:d>
          <m:dPr>
            <m:ctrlPr>
              <w:rPr>
                <w:rFonts w:ascii="Cambria Math" w:hAnsi="Cambria Math"/>
              </w:rPr>
            </m:ctrlPr>
          </m:dPr>
          <m:e>
            <m:r>
              <w:rPr>
                <w:rFonts w:ascii="Cambria Math" w:hAnsi="Cambria Math"/>
              </w:rPr>
              <m:t>2000</m:t>
            </m:r>
          </m:e>
        </m:d>
        <m:r>
          <m:rPr>
            <m:sty m:val="p"/>
          </m:rPr>
          <w:rPr>
            <w:rFonts w:ascii="Cambria Math" w:hAnsi="Cambria Math"/>
          </w:rPr>
          <m:t>=</m:t>
        </m:r>
        <m:r>
          <w:rPr>
            <w:rFonts w:ascii="Cambria Math" w:hAnsi="Cambria Math"/>
          </w:rPr>
          <m:t>0.70</m:t>
        </m:r>
      </m:oMath>
      <w:r>
        <w:t>, it means that approximately 70% of patients are estimated to survive beyond 2000 days.</w:t>
      </w:r>
    </w:p>
    <w:p w14:paraId="543A7794" w14:textId="77777777" w:rsidR="00ED5FE7" w:rsidRDefault="00000000">
      <w:pPr>
        <w:pStyle w:val="Heading1"/>
      </w:pPr>
      <w:bookmarkStart w:id="8" w:name="kaplanmeier-estimator"/>
      <w:bookmarkEnd w:id="6"/>
      <w:bookmarkEnd w:id="7"/>
      <w:r>
        <w:t>7. Kaplan–Meier Estimator</w:t>
      </w:r>
    </w:p>
    <w:p w14:paraId="620A558F" w14:textId="77777777" w:rsidR="00ED5FE7" w:rsidRDefault="00000000">
      <w:pPr>
        <w:pStyle w:val="FirstParagraph"/>
      </w:pPr>
      <w:r>
        <w:t>The Kaplan–Meier estimator is a non-parametric estimator of the survival function that accounts for right-censored observations.</w:t>
      </w:r>
    </w:p>
    <w:p w14:paraId="41814543" w14:textId="77777777" w:rsidR="00ED5FE7" w:rsidRDefault="00000000">
      <w:pPr>
        <w:pStyle w:val="BodyText"/>
      </w:pPr>
      <w:r>
        <w:t>It is given by</w:t>
      </w:r>
    </w:p>
    <w:tbl>
      <w:tblPr>
        <w:tblStyle w:val="Table"/>
        <w:tblW w:w="9026"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7"/>
        <w:gridCol w:w="7892"/>
        <w:gridCol w:w="567"/>
      </w:tblGrid>
      <w:tr w:rsidR="00ED5FE7" w14:paraId="572F91D4" w14:textId="77777777" w:rsidTr="00ED5FE7">
        <w:trPr>
          <w:cantSplit/>
          <w:jc w:val="center"/>
        </w:trPr>
        <w:tc>
          <w:tcPr>
            <w:tcW w:w="567" w:type="dxa"/>
            <w:vAlign w:val="center"/>
          </w:tcPr>
          <w:p w14:paraId="174AEDEA" w14:textId="77777777" w:rsidR="00ED5FE7" w:rsidRDefault="00ED5FE7">
            <w:pPr>
              <w:pStyle w:val="EquationNumber"/>
            </w:pPr>
          </w:p>
        </w:tc>
        <w:tc>
          <w:tcPr>
            <w:tcW w:w="7892" w:type="dxa"/>
            <w:vAlign w:val="center"/>
          </w:tcPr>
          <w:p w14:paraId="3095E3EE" w14:textId="77777777" w:rsidR="00ED5FE7" w:rsidRDefault="00000000">
            <w:pPr>
              <w:pStyle w:val="EquationDisplay"/>
            </w:pPr>
            <m:oMathPara>
              <m:oMathParaPr>
                <m:jc m:val="center"/>
              </m:oMathParaPr>
              <m:oMath>
                <m:acc>
                  <m:accPr>
                    <m:ctrlPr>
                      <w:rPr>
                        <w:rFonts w:ascii="Cambria Math" w:hAnsi="Cambria Math"/>
                      </w:rPr>
                    </m:ctrlPr>
                  </m:accPr>
                  <m:e>
                    <m:r>
                      <w:rPr>
                        <w:rFonts w:ascii="Cambria Math" w:hAnsi="Cambria Math"/>
                      </w:rPr>
                      <m:t>S</m:t>
                    </m:r>
                  </m:e>
                </m:acc>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d>
                  </m:e>
                </m:nary>
                <m:r>
                  <m:rPr>
                    <m:sty m:val="p"/>
                  </m:rPr>
                  <w:rPr>
                    <w:rFonts w:ascii="Cambria Math" w:hAnsi="Cambria Math"/>
                  </w:rPr>
                  <m:t>,</m:t>
                </m:r>
              </m:oMath>
            </m:oMathPara>
          </w:p>
        </w:tc>
        <w:tc>
          <w:tcPr>
            <w:tcW w:w="567" w:type="dxa"/>
            <w:vAlign w:val="center"/>
          </w:tcPr>
          <w:p w14:paraId="0155E49A" w14:textId="77777777" w:rsidR="00ED5FE7" w:rsidRDefault="00000000">
            <w:pPr>
              <w:pStyle w:val="EquationNumber"/>
            </w:pPr>
            <w:r>
              <w:t>(2)</w:t>
            </w:r>
          </w:p>
        </w:tc>
      </w:tr>
    </w:tbl>
    <w:p w14:paraId="56FA6076" w14:textId="77777777" w:rsidR="00ED5FE7" w:rsidRDefault="00000000">
      <w:pPr>
        <w:pStyle w:val="FirstParagraph"/>
        <w:keepNext/>
      </w:pPr>
      <w:r>
        <w:t>where:</w:t>
      </w:r>
    </w:p>
    <w:p w14:paraId="5E536A21" w14:textId="77777777" w:rsidR="00ED5FE7" w:rsidRDefault="00000000">
      <w:pPr>
        <w:numPr>
          <w:ilvl w:val="0"/>
          <w:numId w:val="8"/>
        </w:numPr>
        <w:spacing w:after="60" w:line="360" w:lineRule="auto"/>
      </w:pP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 number of deaths at time </w:t>
      </w:r>
      <m:oMath>
        <m:sSub>
          <m:sSubPr>
            <m:ctrlPr>
              <w:rPr>
                <w:rFonts w:ascii="Cambria Math" w:hAnsi="Cambria Math"/>
              </w:rPr>
            </m:ctrlPr>
          </m:sSubPr>
          <m:e>
            <m:r>
              <w:rPr>
                <w:rFonts w:ascii="Cambria Math" w:hAnsi="Cambria Math"/>
              </w:rPr>
              <m:t>t</m:t>
            </m:r>
          </m:e>
          <m:sub>
            <m:r>
              <w:rPr>
                <w:rFonts w:ascii="Cambria Math" w:hAnsi="Cambria Math"/>
              </w:rPr>
              <m:t>i</m:t>
            </m:r>
          </m:sub>
        </m:sSub>
      </m:oMath>
    </w:p>
    <w:p w14:paraId="411B56F8" w14:textId="77777777" w:rsidR="00ED5FE7" w:rsidRDefault="00000000">
      <w:pPr>
        <w:numPr>
          <w:ilvl w:val="0"/>
          <w:numId w:val="8"/>
        </w:numPr>
        <w:spacing w:after="60" w:line="360" w:lineRule="auto"/>
      </w:pP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 number of patients at risk immediately before </w:t>
      </w:r>
      <m:oMath>
        <m:sSub>
          <m:sSubPr>
            <m:ctrlPr>
              <w:rPr>
                <w:rFonts w:ascii="Cambria Math" w:hAnsi="Cambria Math"/>
              </w:rPr>
            </m:ctrlPr>
          </m:sSubPr>
          <m:e>
            <m:r>
              <w:rPr>
                <w:rFonts w:ascii="Cambria Math" w:hAnsi="Cambria Math"/>
              </w:rPr>
              <m:t>t</m:t>
            </m:r>
          </m:e>
          <m:sub>
            <m:r>
              <w:rPr>
                <w:rFonts w:ascii="Cambria Math" w:hAnsi="Cambria Math"/>
              </w:rPr>
              <m:t>i</m:t>
            </m:r>
          </m:sub>
        </m:sSub>
      </m:oMath>
    </w:p>
    <w:p w14:paraId="50E43FE9" w14:textId="77777777" w:rsidR="00ED5FE7" w:rsidRDefault="00000000">
      <w:pPr>
        <w:pStyle w:val="FirstParagraph"/>
      </w:pPr>
      <w:r>
        <w:t>The estimator produces a step-shaped survival curve.</w:t>
      </w:r>
    </w:p>
    <w:p w14:paraId="5F74A2FC" w14:textId="77777777" w:rsidR="00ED5FE7" w:rsidRDefault="00000000">
      <w:pPr>
        <w:pStyle w:val="Heading3"/>
      </w:pPr>
      <w:bookmarkStart w:id="9" w:name="interpretation-of-the-curve"/>
      <w:r>
        <w:t>Interpretation of the curve</w:t>
      </w:r>
    </w:p>
    <w:p w14:paraId="189D997B" w14:textId="77777777" w:rsidR="00ED5FE7" w:rsidRDefault="00000000">
      <w:pPr>
        <w:numPr>
          <w:ilvl w:val="0"/>
          <w:numId w:val="9"/>
        </w:numPr>
        <w:spacing w:after="60" w:line="360" w:lineRule="auto"/>
      </w:pPr>
      <w:r>
        <w:t>A downward step represents one or more deaths.</w:t>
      </w:r>
    </w:p>
    <w:p w14:paraId="7115C7CA" w14:textId="77777777" w:rsidR="00ED5FE7" w:rsidRDefault="00000000">
      <w:pPr>
        <w:numPr>
          <w:ilvl w:val="0"/>
          <w:numId w:val="9"/>
        </w:numPr>
        <w:spacing w:after="60" w:line="360" w:lineRule="auto"/>
      </w:pPr>
      <w:r>
        <w:t>A censoring mark represents an observation that ended without the event being observed.</w:t>
      </w:r>
    </w:p>
    <w:p w14:paraId="6B9E94DB" w14:textId="77777777" w:rsidR="00ED5FE7" w:rsidRDefault="00000000">
      <w:pPr>
        <w:numPr>
          <w:ilvl w:val="0"/>
          <w:numId w:val="9"/>
        </w:numPr>
        <w:spacing w:after="60" w:line="360" w:lineRule="auto"/>
      </w:pPr>
      <w:r>
        <w:t>A flat region indicates that no death occurred during that interval.</w:t>
      </w:r>
    </w:p>
    <w:p w14:paraId="3DC174CB" w14:textId="6AE5D367" w:rsidR="00ED5FE7" w:rsidRDefault="00000000">
      <w:pPr>
        <w:pStyle w:val="Heading1"/>
      </w:pPr>
      <w:bookmarkStart w:id="10" w:name="overall-kaplanmeier-survival-analysis"/>
      <w:bookmarkEnd w:id="8"/>
      <w:bookmarkEnd w:id="9"/>
      <w:r>
        <w:lastRenderedPageBreak/>
        <w:t>8.</w:t>
      </w:r>
      <w:r w:rsidR="009B2675">
        <w:t xml:space="preserve"> </w:t>
      </w:r>
      <w:r>
        <w:t>Kaplan–Meier Survival Analysis</w:t>
      </w:r>
    </w:p>
    <w:p w14:paraId="41AA647D" w14:textId="77777777" w:rsidR="00ED5FE7" w:rsidRDefault="00000000">
      <w:pPr>
        <w:pStyle w:val="FirstParagraph"/>
      </w:pPr>
      <w:r>
        <w:t>The overall Kaplan–Meier estimator was fitted to all 312 patients.</w:t>
      </w:r>
    </w:p>
    <w:p w14:paraId="40DDF9F5" w14:textId="77777777" w:rsidR="00ED5FE7" w:rsidRDefault="00000000">
      <w:pPr>
        <w:pStyle w:val="BodyText"/>
      </w:pPr>
      <w:r>
        <w:t>The estimated survival probability gradually declined over follow-up. At approximately 1,000 days, the estimated survival probability was about 0.825. At 2,000 days, it had decreased to approximately 0.692, and at 3,000 days it was approximately 0.570.</w:t>
      </w:r>
    </w:p>
    <w:p w14:paraId="1ECB1116" w14:textId="77777777" w:rsidR="00ED5FE7" w:rsidRDefault="00000000">
      <w:pPr>
        <w:pStyle w:val="BodyText"/>
      </w:pPr>
      <w:r>
        <w:t>The estimated survival probability reached approximately 0.500 at 3358 days. This is therefore an appropriate estimate of the median survival time.</w:t>
      </w:r>
    </w:p>
    <w:tbl>
      <w:tblPr>
        <w:tblStyle w:val="Table"/>
        <w:tblW w:w="9026"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7"/>
        <w:gridCol w:w="7892"/>
        <w:gridCol w:w="567"/>
      </w:tblGrid>
      <w:tr w:rsidR="00ED5FE7" w14:paraId="3CAF0D43" w14:textId="77777777" w:rsidTr="00ED5FE7">
        <w:trPr>
          <w:cantSplit/>
          <w:jc w:val="center"/>
        </w:trPr>
        <w:tc>
          <w:tcPr>
            <w:tcW w:w="567" w:type="dxa"/>
            <w:vAlign w:val="center"/>
          </w:tcPr>
          <w:p w14:paraId="6F5B2DBD" w14:textId="77777777" w:rsidR="00ED5FE7" w:rsidRDefault="00ED5FE7">
            <w:pPr>
              <w:pStyle w:val="EquationNumber"/>
            </w:pPr>
          </w:p>
        </w:tc>
        <w:tc>
          <w:tcPr>
            <w:tcW w:w="7892" w:type="dxa"/>
            <w:vAlign w:val="center"/>
          </w:tcPr>
          <w:p w14:paraId="17F6A712" w14:textId="77777777" w:rsidR="00ED5FE7" w:rsidRDefault="00000000">
            <w:pPr>
              <w:pStyle w:val="EquationDisplay"/>
            </w:pPr>
            <m:oMathPara>
              <m:oMathParaPr>
                <m:jc m:val="center"/>
              </m:oMathParaPr>
              <m:oMath>
                <m:r>
                  <m:rPr>
                    <m:nor/>
                  </m:rPr>
                  <m:t>Median survival</m:t>
                </m:r>
                <m:r>
                  <m:rPr>
                    <m:sty m:val="p"/>
                  </m:rPr>
                  <w:rPr>
                    <w:rFonts w:ascii="Cambria Math" w:hAnsi="Cambria Math"/>
                  </w:rPr>
                  <m:t>≈</m:t>
                </m:r>
                <m:r>
                  <w:rPr>
                    <w:rFonts w:ascii="Cambria Math" w:hAnsi="Cambria Math"/>
                  </w:rPr>
                  <m:t>3358 </m:t>
                </m:r>
                <m:r>
                  <m:rPr>
                    <m:nor/>
                  </m:rPr>
                  <m:t>days</m:t>
                </m:r>
              </m:oMath>
            </m:oMathPara>
          </w:p>
        </w:tc>
        <w:tc>
          <w:tcPr>
            <w:tcW w:w="567" w:type="dxa"/>
            <w:vAlign w:val="center"/>
          </w:tcPr>
          <w:p w14:paraId="6C74174E" w14:textId="77777777" w:rsidR="00ED5FE7" w:rsidRDefault="00000000">
            <w:pPr>
              <w:pStyle w:val="EquationNumber"/>
            </w:pPr>
            <w:r>
              <w:t>(3)</w:t>
            </w:r>
          </w:p>
        </w:tc>
      </w:tr>
    </w:tbl>
    <w:p w14:paraId="229C9BFB" w14:textId="77777777" w:rsidR="00ED5FE7" w:rsidRDefault="00000000">
      <w:pPr>
        <w:pStyle w:val="FirstParagraph"/>
      </w:pPr>
      <w:r>
        <w:t>This corresponds to approximately</w:t>
      </w:r>
    </w:p>
    <w:tbl>
      <w:tblPr>
        <w:tblStyle w:val="Table"/>
        <w:tblW w:w="9026"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7"/>
        <w:gridCol w:w="7892"/>
        <w:gridCol w:w="567"/>
      </w:tblGrid>
      <w:tr w:rsidR="00ED5FE7" w14:paraId="08238D39" w14:textId="77777777" w:rsidTr="00ED5FE7">
        <w:trPr>
          <w:cantSplit/>
          <w:jc w:val="center"/>
        </w:trPr>
        <w:tc>
          <w:tcPr>
            <w:tcW w:w="567" w:type="dxa"/>
            <w:vAlign w:val="center"/>
          </w:tcPr>
          <w:p w14:paraId="6D18C173" w14:textId="77777777" w:rsidR="00ED5FE7" w:rsidRDefault="00ED5FE7">
            <w:pPr>
              <w:pStyle w:val="EquationNumber"/>
            </w:pPr>
          </w:p>
        </w:tc>
        <w:tc>
          <w:tcPr>
            <w:tcW w:w="7892" w:type="dxa"/>
            <w:vAlign w:val="center"/>
          </w:tcPr>
          <w:p w14:paraId="69C24DBD" w14:textId="77777777" w:rsidR="00ED5FE7" w:rsidRDefault="00000000">
            <w:pPr>
              <w:pStyle w:val="EquationDisplay"/>
            </w:pPr>
            <m:oMathPara>
              <m:oMathParaPr>
                <m:jc m:val="center"/>
              </m:oMathParaPr>
              <m:oMath>
                <m:f>
                  <m:fPr>
                    <m:ctrlPr>
                      <w:rPr>
                        <w:rFonts w:ascii="Cambria Math" w:hAnsi="Cambria Math"/>
                      </w:rPr>
                    </m:ctrlPr>
                  </m:fPr>
                  <m:num>
                    <m:r>
                      <w:rPr>
                        <w:rFonts w:ascii="Cambria Math" w:hAnsi="Cambria Math"/>
                      </w:rPr>
                      <m:t>3358</m:t>
                    </m:r>
                  </m:num>
                  <m:den>
                    <m:r>
                      <w:rPr>
                        <w:rFonts w:ascii="Cambria Math" w:hAnsi="Cambria Math"/>
                      </w:rPr>
                      <m:t>365.25</m:t>
                    </m:r>
                  </m:den>
                </m:f>
                <m:r>
                  <m:rPr>
                    <m:sty m:val="p"/>
                  </m:rPr>
                  <w:rPr>
                    <w:rFonts w:ascii="Cambria Math" w:hAnsi="Cambria Math"/>
                  </w:rPr>
                  <m:t>≈</m:t>
                </m:r>
                <m:r>
                  <w:rPr>
                    <w:rFonts w:ascii="Cambria Math" w:hAnsi="Cambria Math"/>
                  </w:rPr>
                  <m:t>9.19 </m:t>
                </m:r>
                <m:r>
                  <m:rPr>
                    <m:nor/>
                  </m:rPr>
                  <m:t>years</m:t>
                </m:r>
                <m:r>
                  <m:rPr>
                    <m:sty m:val="p"/>
                  </m:rPr>
                  <w:rPr>
                    <w:rFonts w:ascii="Cambria Math" w:hAnsi="Cambria Math"/>
                  </w:rPr>
                  <m:t>.</m:t>
                </m:r>
              </m:oMath>
            </m:oMathPara>
          </w:p>
        </w:tc>
        <w:tc>
          <w:tcPr>
            <w:tcW w:w="567" w:type="dxa"/>
            <w:vAlign w:val="center"/>
          </w:tcPr>
          <w:p w14:paraId="5E2D3A54" w14:textId="77777777" w:rsidR="00ED5FE7" w:rsidRDefault="00000000">
            <w:pPr>
              <w:pStyle w:val="EquationNumber"/>
            </w:pPr>
            <w:r>
              <w:t>(4)</w:t>
            </w:r>
          </w:p>
        </w:tc>
      </w:tr>
    </w:tbl>
    <w:p w14:paraId="56ED7BFA" w14:textId="77777777" w:rsidR="00ED5FE7" w:rsidRDefault="00000000">
      <w:pPr>
        <w:pStyle w:val="Heading3"/>
      </w:pPr>
      <w:bookmarkStart w:id="11" w:name="interpretation"/>
      <w:r>
        <w:t>Interpretation</w:t>
      </w:r>
    </w:p>
    <w:p w14:paraId="6FBA0F77" w14:textId="77777777" w:rsidR="00ED5FE7" w:rsidRDefault="00000000">
      <w:pPr>
        <w:pStyle w:val="FirstParagraph"/>
      </w:pPr>
      <w:r>
        <w:t>The Kaplan–Meier analysis indicates a gradual decline in survival over the follow-up period. Approximately half of the analytical population remained event-free until around 3358 days, or roughly 9.2 years.</w:t>
      </w:r>
    </w:p>
    <w:p w14:paraId="4FF04CC7" w14:textId="77777777" w:rsidR="00ED5FE7" w:rsidRDefault="00000000">
      <w:pPr>
        <w:pStyle w:val="BodyText"/>
      </w:pPr>
      <w:r>
        <w:t>The confidence interval around the survival estimate widens at later follow-up times because progressively fewer patients remain under observation. This is an important feature of the survival curve and means that estimates toward the extreme right-hand side should be interpreted with greater uncertainty.</w:t>
      </w:r>
    </w:p>
    <w:p w14:paraId="50BE5492" w14:textId="79ACBFB9" w:rsidR="00ED5FE7" w:rsidRDefault="009B2675">
      <w:pPr>
        <w:pStyle w:val="CaptionedFigure"/>
      </w:pPr>
      <w:r>
        <w:rPr>
          <w:noProof/>
        </w:rPr>
        <w:drawing>
          <wp:inline distT="0" distB="0" distL="0" distR="0" wp14:anchorId="4DA811A0" wp14:editId="772DD8BE">
            <wp:extent cx="3969385" cy="2851150"/>
            <wp:effectExtent l="0" t="0" r="0" b="0"/>
            <wp:docPr id="2115647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8333" cy="2871943"/>
                    </a:xfrm>
                    <a:prstGeom prst="rect">
                      <a:avLst/>
                    </a:prstGeom>
                    <a:noFill/>
                  </pic:spPr>
                </pic:pic>
              </a:graphicData>
            </a:graphic>
          </wp:inline>
        </w:drawing>
      </w:r>
    </w:p>
    <w:p w14:paraId="30BF3C8E" w14:textId="77777777" w:rsidR="00ED5FE7" w:rsidRDefault="00000000">
      <w:pPr>
        <w:pStyle w:val="ImageCaption"/>
      </w:pPr>
      <w:r>
        <w:rPr>
          <w:b/>
          <w:bCs/>
        </w:rPr>
        <w:t>Figure 1.</w:t>
      </w:r>
      <w:r>
        <w:t xml:space="preserve"> Overall Kaplan–Meier survival curve.</w:t>
      </w:r>
    </w:p>
    <w:p w14:paraId="3382F36C" w14:textId="77777777" w:rsidR="00ED5FE7" w:rsidRDefault="00000000">
      <w:pPr>
        <w:pStyle w:val="BodyText"/>
      </w:pPr>
      <w:r>
        <w:rPr>
          <w:i/>
          <w:iCs/>
        </w:rPr>
        <w:lastRenderedPageBreak/>
        <w:t>Figure interpretation:</w:t>
      </w:r>
      <w:r>
        <w:t xml:space="preserve"> The curve demonstrates decreasing survival probability with increasing follow-up time. Censoring marks indicate patients for whom death was not observed during their available follow-up.</w:t>
      </w:r>
    </w:p>
    <w:p w14:paraId="41C135EC" w14:textId="77777777" w:rsidR="00ED5FE7" w:rsidRDefault="00000000">
      <w:pPr>
        <w:pStyle w:val="Heading1"/>
      </w:pPr>
      <w:bookmarkStart w:id="12" w:name="kaplanmeier-survival-by-treatment"/>
      <w:bookmarkEnd w:id="10"/>
      <w:bookmarkEnd w:id="11"/>
      <w:r>
        <w:t>9. Kaplan–Meier Survival by Treatment</w:t>
      </w:r>
    </w:p>
    <w:p w14:paraId="2C3E87B6" w14:textId="77777777" w:rsidR="00ED5FE7" w:rsidRDefault="00000000">
      <w:pPr>
        <w:pStyle w:val="FirstParagraph"/>
      </w:pPr>
      <w:r>
        <w:t>Separate Kaplan–Meier curves were estimated for Treatment 1 and Treatment 2.</w:t>
      </w:r>
    </w:p>
    <w:p w14:paraId="75E916F3" w14:textId="77777777" w:rsidR="00ED5FE7" w:rsidRDefault="00000000">
      <w:pPr>
        <w:pStyle w:val="BodyText"/>
        <w:keepNext/>
      </w:pPr>
      <w:r>
        <w:t>There were:</w:t>
      </w:r>
    </w:p>
    <w:p w14:paraId="0A224D36" w14:textId="77777777" w:rsidR="00ED5FE7" w:rsidRDefault="00000000">
      <w:pPr>
        <w:numPr>
          <w:ilvl w:val="0"/>
          <w:numId w:val="10"/>
        </w:numPr>
        <w:spacing w:after="60" w:line="360" w:lineRule="auto"/>
      </w:pPr>
      <w:r>
        <w:t>Treatment 1: 158 patients</w:t>
      </w:r>
    </w:p>
    <w:p w14:paraId="60F8B781" w14:textId="77777777" w:rsidR="00ED5FE7" w:rsidRDefault="00000000">
      <w:pPr>
        <w:numPr>
          <w:ilvl w:val="0"/>
          <w:numId w:val="10"/>
        </w:numPr>
        <w:spacing w:after="60" w:line="360" w:lineRule="auto"/>
      </w:pPr>
      <w:r>
        <w:t>Treatment 2: 154 patients</w:t>
      </w:r>
    </w:p>
    <w:p w14:paraId="40A4B41E" w14:textId="77777777" w:rsidR="00ED5FE7" w:rsidRDefault="00000000">
      <w:pPr>
        <w:pStyle w:val="FirstParagraph"/>
      </w:pPr>
      <w:r>
        <w:t>The survival curves showed broadly similar patterns.</w:t>
      </w:r>
    </w:p>
    <w:p w14:paraId="099EBE17" w14:textId="77777777" w:rsidR="00ED5FE7" w:rsidRDefault="00000000">
      <w:pPr>
        <w:pStyle w:val="BodyText"/>
      </w:pPr>
      <w:r>
        <w:t>For example, near the later portion of follow-up, Treatment 1 had an estimated survival of approximately 0.319 at 4191 days, while Treatment 2 had an estimated survival of approximately 0.361 at 3853 days. However, differences at the tail of the curves are based on relatively few patients and should therefore not be overinterpreted.</w:t>
      </w:r>
    </w:p>
    <w:p w14:paraId="29EF2E01" w14:textId="623B0164" w:rsidR="00ED5FE7" w:rsidRDefault="00F45229">
      <w:pPr>
        <w:pStyle w:val="CaptionedFigure"/>
      </w:pPr>
      <w:r>
        <w:rPr>
          <w:noProof/>
        </w:rPr>
        <w:drawing>
          <wp:inline distT="0" distB="0" distL="0" distR="0" wp14:anchorId="69BB7209" wp14:editId="2C2C7A4A">
            <wp:extent cx="3233104" cy="2924175"/>
            <wp:effectExtent l="0" t="0" r="0" b="0"/>
            <wp:docPr id="138072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9225" cy="2929711"/>
                    </a:xfrm>
                    <a:prstGeom prst="rect">
                      <a:avLst/>
                    </a:prstGeom>
                    <a:noFill/>
                  </pic:spPr>
                </pic:pic>
              </a:graphicData>
            </a:graphic>
          </wp:inline>
        </w:drawing>
      </w:r>
    </w:p>
    <w:p w14:paraId="57C4B84D" w14:textId="77777777" w:rsidR="00ED5FE7" w:rsidRDefault="00000000">
      <w:pPr>
        <w:pStyle w:val="ImageCaption"/>
      </w:pPr>
      <w:r>
        <w:rPr>
          <w:b/>
          <w:bCs/>
        </w:rPr>
        <w:t>Figure 2.</w:t>
      </w:r>
      <w:r>
        <w:t xml:space="preserve"> Kaplan–Meier survival curves by treatment.</w:t>
      </w:r>
    </w:p>
    <w:p w14:paraId="6727E630" w14:textId="77777777" w:rsidR="00F45229" w:rsidRDefault="00F45229">
      <w:pPr>
        <w:pStyle w:val="Heading1"/>
      </w:pPr>
      <w:bookmarkStart w:id="13" w:name="log-rank-test-treatment"/>
      <w:bookmarkEnd w:id="12"/>
    </w:p>
    <w:p w14:paraId="7A425205" w14:textId="77777777" w:rsidR="00F45229" w:rsidRPr="00F45229" w:rsidRDefault="00F45229" w:rsidP="00F45229">
      <w:pPr>
        <w:pStyle w:val="BodyText"/>
      </w:pPr>
    </w:p>
    <w:p w14:paraId="30DF36F1" w14:textId="53971C5C" w:rsidR="00ED5FE7" w:rsidRDefault="00000000">
      <w:pPr>
        <w:pStyle w:val="Heading1"/>
      </w:pPr>
      <w:r>
        <w:lastRenderedPageBreak/>
        <w:t>10. Log-Rank Test: Treatment</w:t>
      </w:r>
    </w:p>
    <w:p w14:paraId="7E4B94A3" w14:textId="77777777" w:rsidR="00ED5FE7" w:rsidRDefault="00000000">
      <w:pPr>
        <w:pStyle w:val="FirstParagraph"/>
      </w:pPr>
      <w:r>
        <w:t>The log-rank test was used to formally compare the survival distributions of the two treatment groups.</w:t>
      </w:r>
    </w:p>
    <w:p w14:paraId="3492304B" w14:textId="77777777" w:rsidR="00ED5FE7" w:rsidRDefault="00000000">
      <w:pPr>
        <w:pStyle w:val="Heading3"/>
      </w:pPr>
      <w:bookmarkStart w:id="14" w:name="hypotheses"/>
      <w:r>
        <w:t>Hypotheses</w:t>
      </w:r>
    </w:p>
    <w:tbl>
      <w:tblPr>
        <w:tblStyle w:val="Table"/>
        <w:tblW w:w="9026"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7"/>
        <w:gridCol w:w="7892"/>
        <w:gridCol w:w="567"/>
      </w:tblGrid>
      <w:tr w:rsidR="00ED5FE7" w14:paraId="65041584" w14:textId="77777777" w:rsidTr="00ED5FE7">
        <w:trPr>
          <w:cantSplit/>
          <w:jc w:val="center"/>
        </w:trPr>
        <w:tc>
          <w:tcPr>
            <w:tcW w:w="567" w:type="dxa"/>
            <w:vAlign w:val="center"/>
          </w:tcPr>
          <w:p w14:paraId="6753897B" w14:textId="77777777" w:rsidR="00ED5FE7" w:rsidRDefault="00ED5FE7">
            <w:pPr>
              <w:pStyle w:val="EquationNumber"/>
            </w:pPr>
          </w:p>
        </w:tc>
        <w:tc>
          <w:tcPr>
            <w:tcW w:w="7892" w:type="dxa"/>
            <w:vAlign w:val="center"/>
          </w:tcPr>
          <w:p w14:paraId="0ACE2487" w14:textId="77777777" w:rsidR="00ED5FE7" w:rsidRDefault="00000000">
            <w:pPr>
              <w:pStyle w:val="EquationDisplay"/>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0</m:t>
                          </m:r>
                        </m:sub>
                      </m:sSub>
                    </m:e>
                    <m:e>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e>
                  </m:mr>
                  <m:mr>
                    <m:e>
                      <m:sSub>
                        <m:sSubPr>
                          <m:ctrlPr>
                            <w:rPr>
                              <w:rFonts w:ascii="Cambria Math" w:hAnsi="Cambria Math"/>
                            </w:rPr>
                          </m:ctrlPr>
                        </m:sSubPr>
                        <m:e>
                          <m:r>
                            <w:rPr>
                              <w:rFonts w:ascii="Cambria Math" w:hAnsi="Cambria Math"/>
                            </w:rPr>
                            <m:t>H</m:t>
                          </m:r>
                        </m:e>
                        <m:sub>
                          <m:r>
                            <w:rPr>
                              <w:rFonts w:ascii="Cambria Math" w:hAnsi="Cambria Math"/>
                            </w:rPr>
                            <m:t>1</m:t>
                          </m:r>
                        </m:sub>
                      </m:sSub>
                    </m:e>
                    <m:e>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e>
                  </m:mr>
                </m:m>
              </m:oMath>
            </m:oMathPara>
          </w:p>
        </w:tc>
        <w:tc>
          <w:tcPr>
            <w:tcW w:w="567" w:type="dxa"/>
            <w:vAlign w:val="center"/>
          </w:tcPr>
          <w:p w14:paraId="215C17A7" w14:textId="77777777" w:rsidR="00ED5FE7" w:rsidRDefault="00000000">
            <w:pPr>
              <w:pStyle w:val="EquationNumber"/>
            </w:pPr>
            <w:r>
              <w:t>(5)</w:t>
            </w:r>
          </w:p>
        </w:tc>
      </w:tr>
    </w:tbl>
    <w:p w14:paraId="68BA5D77" w14:textId="77777777" w:rsidR="00ED5FE7" w:rsidRDefault="00000000">
      <w:pPr>
        <w:pStyle w:val="FirstParagraph"/>
      </w:pPr>
      <w:r>
        <w:t xml:space="preserve">The test produced </w:t>
      </w:r>
      <w:r>
        <w:rPr>
          <w:i/>
          <w:iCs/>
        </w:rPr>
        <w:t>χ</w:t>
      </w:r>
      <w:r>
        <w:rPr>
          <w:vertAlign w:val="superscript"/>
        </w:rPr>
        <w:t>2</w:t>
      </w:r>
      <w:r>
        <w:t xml:space="preserve"> = 0.1 with 1 degree of freedom and </w:t>
      </w:r>
      <w:r>
        <w:rPr>
          <w:i/>
          <w:iCs/>
        </w:rPr>
        <w:t>p</w:t>
      </w:r>
      <w:r>
        <w:t> = 0.7498.</w:t>
      </w:r>
    </w:p>
    <w:p w14:paraId="50A08961" w14:textId="77777777" w:rsidR="00ED5FE7" w:rsidRDefault="00000000">
      <w:pPr>
        <w:pStyle w:val="Heading3"/>
      </w:pPr>
      <w:bookmarkStart w:id="15" w:name="interpretation-1"/>
      <w:bookmarkEnd w:id="14"/>
      <w:r>
        <w:t>Interpretation</w:t>
      </w:r>
    </w:p>
    <w:p w14:paraId="39C31E56" w14:textId="77777777" w:rsidR="00ED5FE7" w:rsidRDefault="00000000">
      <w:pPr>
        <w:pStyle w:val="FirstParagraph"/>
      </w:pPr>
      <w:r>
        <w:t xml:space="preserve">Since </w:t>
      </w:r>
      <w:r>
        <w:rPr>
          <w:i/>
          <w:iCs/>
        </w:rPr>
        <w:t>p</w:t>
      </w:r>
      <w:r>
        <w:t> = 0.7498 &gt; 0.05, there is insufficient statistical evidence to conclude that the survival distributions differ between Treatment 1 and Treatment 2.</w:t>
      </w:r>
    </w:p>
    <w:p w14:paraId="0D6FA9C1" w14:textId="77777777" w:rsidR="00ED5FE7" w:rsidRDefault="00000000">
      <w:pPr>
        <w:pStyle w:val="BodyText"/>
      </w:pPr>
      <w:r>
        <w:t>This result is also consistent with the visual similarity of the Kaplan–Meier curves.</w:t>
      </w:r>
    </w:p>
    <w:p w14:paraId="0FD002CB" w14:textId="77777777" w:rsidR="00ED5FE7" w:rsidRDefault="00000000">
      <w:pPr>
        <w:pStyle w:val="BodyText"/>
      </w:pPr>
      <w:r>
        <w:t>It is important not to interpret this as proof that the treatments are identical. Rather, the observed data do not provide sufficient evidence of a survival difference under the log-rank test.</w:t>
      </w:r>
    </w:p>
    <w:p w14:paraId="3A07E9A2" w14:textId="77777777" w:rsidR="00ED5FE7" w:rsidRDefault="00000000">
      <w:pPr>
        <w:pStyle w:val="Heading1"/>
      </w:pPr>
      <w:bookmarkStart w:id="16" w:name="kaplanmeier-survival-by-sex"/>
      <w:bookmarkEnd w:id="13"/>
      <w:bookmarkEnd w:id="15"/>
      <w:r>
        <w:t>11. Kaplan–Meier Survival by Sex</w:t>
      </w:r>
    </w:p>
    <w:p w14:paraId="5C9AB50E" w14:textId="77777777" w:rsidR="00ED5FE7" w:rsidRDefault="00000000">
      <w:pPr>
        <w:pStyle w:val="FirstParagraph"/>
      </w:pPr>
      <w:r>
        <w:t>Kaplan–Meier curves were subsequently estimated separately for male and female patients.</w:t>
      </w:r>
    </w:p>
    <w:p w14:paraId="3620C5AF" w14:textId="77777777" w:rsidR="00ED5FE7" w:rsidRDefault="00000000">
      <w:pPr>
        <w:pStyle w:val="BodyText"/>
        <w:keepNext/>
      </w:pPr>
      <w:r>
        <w:t>The analytical sample contained:</w:t>
      </w:r>
    </w:p>
    <w:p w14:paraId="224C9E1F" w14:textId="77777777" w:rsidR="00ED5FE7" w:rsidRDefault="00000000">
      <w:pPr>
        <w:numPr>
          <w:ilvl w:val="0"/>
          <w:numId w:val="11"/>
        </w:numPr>
        <w:spacing w:after="60" w:line="360" w:lineRule="auto"/>
      </w:pPr>
      <w:r>
        <w:t>36 males</w:t>
      </w:r>
    </w:p>
    <w:p w14:paraId="705AD30A" w14:textId="77777777" w:rsidR="00ED5FE7" w:rsidRDefault="00000000">
      <w:pPr>
        <w:numPr>
          <w:ilvl w:val="0"/>
          <w:numId w:val="11"/>
        </w:numPr>
        <w:spacing w:after="60" w:line="360" w:lineRule="auto"/>
      </w:pPr>
      <w:r>
        <w:t>276 females.</w:t>
      </w:r>
    </w:p>
    <w:p w14:paraId="675F2748" w14:textId="6A98B2E8" w:rsidR="00ED5FE7" w:rsidRDefault="009B2675">
      <w:pPr>
        <w:pStyle w:val="CaptionedFigure"/>
      </w:pPr>
      <w:r>
        <w:rPr>
          <w:noProof/>
        </w:rPr>
        <w:drawing>
          <wp:inline distT="0" distB="0" distL="0" distR="0" wp14:anchorId="6E933D76" wp14:editId="2B051EC9">
            <wp:extent cx="3422174" cy="2726866"/>
            <wp:effectExtent l="0" t="0" r="0" b="0"/>
            <wp:docPr id="1142884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8554" cy="2747886"/>
                    </a:xfrm>
                    <a:prstGeom prst="rect">
                      <a:avLst/>
                    </a:prstGeom>
                    <a:noFill/>
                  </pic:spPr>
                </pic:pic>
              </a:graphicData>
            </a:graphic>
          </wp:inline>
        </w:drawing>
      </w:r>
    </w:p>
    <w:p w14:paraId="4872F0B6" w14:textId="77777777" w:rsidR="00ED5FE7" w:rsidRDefault="00000000">
      <w:pPr>
        <w:pStyle w:val="ImageCaption"/>
      </w:pPr>
      <w:r>
        <w:rPr>
          <w:b/>
          <w:bCs/>
        </w:rPr>
        <w:t>Figure 3.</w:t>
      </w:r>
      <w:r>
        <w:t xml:space="preserve"> Kaplan–Meier survival curves by sex.</w:t>
      </w:r>
    </w:p>
    <w:p w14:paraId="7C89641C" w14:textId="77777777" w:rsidR="00ED5FE7" w:rsidRDefault="00000000">
      <w:pPr>
        <w:pStyle w:val="BodyText"/>
      </w:pPr>
      <w:r>
        <w:lastRenderedPageBreak/>
        <w:t>The curves show a difference in the observed survival experience between the two groups.</w:t>
      </w:r>
    </w:p>
    <w:p w14:paraId="3DD278E3" w14:textId="77777777" w:rsidR="00ED5FE7" w:rsidRDefault="00000000">
      <w:pPr>
        <w:pStyle w:val="BodyText"/>
      </w:pPr>
      <w:r>
        <w:t>Because the male group is considerably smaller than the female group, the estimated survival curve for males is based on fewer observations and should be interpreted with this imbalance in mind.</w:t>
      </w:r>
    </w:p>
    <w:p w14:paraId="4E7479E6" w14:textId="77777777" w:rsidR="00ED5FE7" w:rsidRDefault="00000000">
      <w:pPr>
        <w:pStyle w:val="Heading1"/>
      </w:pPr>
      <w:bookmarkStart w:id="17" w:name="log-rank-test-sex"/>
      <w:bookmarkEnd w:id="16"/>
      <w:r>
        <w:t>12. Log-Rank Test: Sex</w:t>
      </w:r>
    </w:p>
    <w:p w14:paraId="657559CC" w14:textId="77777777" w:rsidR="00ED5FE7" w:rsidRDefault="00000000">
      <w:pPr>
        <w:pStyle w:val="FirstParagraph"/>
      </w:pPr>
      <w:r>
        <w:t xml:space="preserve">The log-rank test produced </w:t>
      </w:r>
      <w:r>
        <w:rPr>
          <w:i/>
          <w:iCs/>
        </w:rPr>
        <w:t>χ</w:t>
      </w:r>
      <w:r>
        <w:rPr>
          <w:vertAlign w:val="superscript"/>
        </w:rPr>
        <w:t>2</w:t>
      </w:r>
      <w:r>
        <w:t xml:space="preserve"> = 4.3 with 1 degree of freedom and </w:t>
      </w:r>
      <w:r>
        <w:rPr>
          <w:i/>
          <w:iCs/>
        </w:rPr>
        <w:t>p</w:t>
      </w:r>
      <w:r>
        <w:t> = 0.0388.</w:t>
      </w:r>
    </w:p>
    <w:p w14:paraId="6202E0DE" w14:textId="77777777" w:rsidR="00ED5FE7" w:rsidRDefault="00000000">
      <w:pPr>
        <w:pStyle w:val="Heading3"/>
      </w:pPr>
      <w:bookmarkStart w:id="18" w:name="interpretation-2"/>
      <w:r>
        <w:t>Interpretation</w:t>
      </w:r>
    </w:p>
    <w:p w14:paraId="237984DC" w14:textId="77777777" w:rsidR="00ED5FE7" w:rsidRDefault="00000000">
      <w:pPr>
        <w:pStyle w:val="FirstParagraph"/>
      </w:pPr>
      <w:r>
        <w:t xml:space="preserve">Since </w:t>
      </w:r>
      <w:r>
        <w:rPr>
          <w:i/>
          <w:iCs/>
        </w:rPr>
        <w:t>p</w:t>
      </w:r>
      <w:r>
        <w:t> = 0.0388 &lt; 0.05, there is statistical evidence of a difference in survival distributions between male and female patients in this analytical sample.</w:t>
      </w:r>
    </w:p>
    <w:p w14:paraId="07EAA818" w14:textId="77777777" w:rsidR="00ED5FE7" w:rsidRDefault="00000000">
      <w:pPr>
        <w:pStyle w:val="BodyText"/>
      </w:pPr>
      <w:r>
        <w:t>This is an unadjusted comparison. Therefore, it does not establish that sex itself causes the observed difference. Differences in other patient characteristics may contribute to the observed survival patterns.</w:t>
      </w:r>
    </w:p>
    <w:p w14:paraId="503F4EB9" w14:textId="77777777" w:rsidR="00ED5FE7" w:rsidRDefault="00000000">
      <w:pPr>
        <w:pStyle w:val="BodyText"/>
      </w:pPr>
      <w:r>
        <w:t>The subsequent Cox model provides an adjusted analysis.</w:t>
      </w:r>
    </w:p>
    <w:p w14:paraId="27BBFD47" w14:textId="77777777" w:rsidR="00ED5FE7" w:rsidRDefault="00000000">
      <w:pPr>
        <w:pStyle w:val="Heading1"/>
      </w:pPr>
      <w:bookmarkStart w:id="19" w:name="kaplanmeier-survival-by-disease-stage"/>
      <w:bookmarkEnd w:id="17"/>
      <w:bookmarkEnd w:id="18"/>
      <w:r>
        <w:t>13. Kaplan–Meier Survival by Disease Stage</w:t>
      </w:r>
    </w:p>
    <w:p w14:paraId="71F0601C" w14:textId="77777777" w:rsidR="00ED5FE7" w:rsidRDefault="00000000">
      <w:pPr>
        <w:pStyle w:val="FirstParagraph"/>
        <w:keepNext/>
      </w:pPr>
      <w:r>
        <w:t>Disease stage was divided into four groups:</w:t>
      </w:r>
    </w:p>
    <w:p w14:paraId="2DA411C7" w14:textId="77777777" w:rsidR="00ED5FE7" w:rsidRDefault="00000000">
      <w:pPr>
        <w:pStyle w:val="TableCaption"/>
      </w:pPr>
      <w:r>
        <w:rPr>
          <w:b/>
          <w:bCs/>
        </w:rPr>
        <w:t>Table 2.</w:t>
      </w:r>
      <w:r>
        <w:t xml:space="preserve"> Number of patients by disease stage.</w:t>
      </w:r>
    </w:p>
    <w:tbl>
      <w:tblPr>
        <w:tblStyle w:val="Table"/>
        <w:tblW w:w="5200" w:type="dxa"/>
        <w:jc w:val="center"/>
        <w:tblBorders>
          <w:top w:val="single" w:sz="12" w:space="0" w:color="000000"/>
          <w:left w:val="nil"/>
          <w:bottom w:val="single" w:sz="12" w:space="0" w:color="000000"/>
          <w:right w:val="nil"/>
          <w:insideH w:val="nil"/>
          <w:insideV w:val="nil"/>
        </w:tblBorders>
        <w:tblLayout w:type="fixed"/>
        <w:tblCellMar>
          <w:top w:w="30" w:type="dxa"/>
          <w:left w:w="100" w:type="dxa"/>
          <w:bottom w:w="30" w:type="dxa"/>
          <w:right w:w="100" w:type="dxa"/>
        </w:tblCellMar>
        <w:tblLook w:val="0000" w:firstRow="0" w:lastRow="0" w:firstColumn="0" w:lastColumn="0" w:noHBand="0" w:noVBand="0"/>
      </w:tblPr>
      <w:tblGrid>
        <w:gridCol w:w="2600"/>
        <w:gridCol w:w="2600"/>
      </w:tblGrid>
      <w:tr w:rsidR="00ED5FE7" w14:paraId="61C07FBE" w14:textId="77777777" w:rsidTr="00ED5FE7">
        <w:trPr>
          <w:cantSplit/>
          <w:tblHeader/>
          <w:jc w:val="center"/>
        </w:trPr>
        <w:tc>
          <w:tcPr>
            <w:tcW w:w="2600" w:type="dxa"/>
            <w:tcBorders>
              <w:bottom w:val="single" w:sz="6" w:space="0" w:color="000000"/>
            </w:tcBorders>
            <w:vAlign w:val="center"/>
          </w:tcPr>
          <w:p w14:paraId="0A4ABFA9" w14:textId="77777777" w:rsidR="00ED5FE7" w:rsidRDefault="00000000">
            <w:pPr>
              <w:pStyle w:val="Compact"/>
              <w:keepNext/>
            </w:pPr>
            <w:r>
              <w:rPr>
                <w:b/>
              </w:rPr>
              <w:t>Stage</w:t>
            </w:r>
          </w:p>
        </w:tc>
        <w:tc>
          <w:tcPr>
            <w:tcW w:w="2600" w:type="dxa"/>
            <w:tcBorders>
              <w:bottom w:val="single" w:sz="6" w:space="0" w:color="000000"/>
            </w:tcBorders>
            <w:vAlign w:val="center"/>
          </w:tcPr>
          <w:p w14:paraId="70A76AFE" w14:textId="77777777" w:rsidR="00ED5FE7" w:rsidRDefault="00000000">
            <w:pPr>
              <w:pStyle w:val="Compact"/>
              <w:keepNext/>
              <w:jc w:val="center"/>
            </w:pPr>
            <w:r>
              <w:rPr>
                <w:b/>
              </w:rPr>
              <w:t>Number of patients</w:t>
            </w:r>
          </w:p>
        </w:tc>
      </w:tr>
      <w:tr w:rsidR="00ED5FE7" w14:paraId="59AD7F2E" w14:textId="77777777" w:rsidTr="00ED5FE7">
        <w:trPr>
          <w:cantSplit/>
          <w:jc w:val="center"/>
        </w:trPr>
        <w:tc>
          <w:tcPr>
            <w:tcW w:w="2600" w:type="dxa"/>
            <w:vAlign w:val="center"/>
          </w:tcPr>
          <w:p w14:paraId="30F18466" w14:textId="77777777" w:rsidR="00ED5FE7" w:rsidRDefault="00000000">
            <w:pPr>
              <w:pStyle w:val="Compact"/>
              <w:keepNext/>
            </w:pPr>
            <w:r>
              <w:t>Stage 1</w:t>
            </w:r>
          </w:p>
        </w:tc>
        <w:tc>
          <w:tcPr>
            <w:tcW w:w="2600" w:type="dxa"/>
            <w:vAlign w:val="center"/>
          </w:tcPr>
          <w:p w14:paraId="3C7117DE" w14:textId="77777777" w:rsidR="00ED5FE7" w:rsidRDefault="00000000">
            <w:pPr>
              <w:pStyle w:val="Compact"/>
              <w:keepNext/>
              <w:jc w:val="center"/>
            </w:pPr>
            <w:r>
              <w:t>16</w:t>
            </w:r>
          </w:p>
        </w:tc>
      </w:tr>
      <w:tr w:rsidR="00ED5FE7" w14:paraId="16291288" w14:textId="77777777" w:rsidTr="00ED5FE7">
        <w:trPr>
          <w:cantSplit/>
          <w:jc w:val="center"/>
        </w:trPr>
        <w:tc>
          <w:tcPr>
            <w:tcW w:w="2600" w:type="dxa"/>
            <w:vAlign w:val="center"/>
          </w:tcPr>
          <w:p w14:paraId="6FF4F840" w14:textId="77777777" w:rsidR="00ED5FE7" w:rsidRDefault="00000000">
            <w:pPr>
              <w:pStyle w:val="Compact"/>
              <w:keepNext/>
            </w:pPr>
            <w:r>
              <w:t>Stage 2</w:t>
            </w:r>
          </w:p>
        </w:tc>
        <w:tc>
          <w:tcPr>
            <w:tcW w:w="2600" w:type="dxa"/>
            <w:vAlign w:val="center"/>
          </w:tcPr>
          <w:p w14:paraId="23E4A8B6" w14:textId="77777777" w:rsidR="00ED5FE7" w:rsidRDefault="00000000">
            <w:pPr>
              <w:pStyle w:val="Compact"/>
              <w:keepNext/>
              <w:jc w:val="center"/>
            </w:pPr>
            <w:r>
              <w:t>67</w:t>
            </w:r>
          </w:p>
        </w:tc>
      </w:tr>
      <w:tr w:rsidR="00ED5FE7" w14:paraId="27DFD165" w14:textId="77777777" w:rsidTr="00ED5FE7">
        <w:trPr>
          <w:cantSplit/>
          <w:jc w:val="center"/>
        </w:trPr>
        <w:tc>
          <w:tcPr>
            <w:tcW w:w="2600" w:type="dxa"/>
            <w:vAlign w:val="center"/>
          </w:tcPr>
          <w:p w14:paraId="40B898AA" w14:textId="77777777" w:rsidR="00ED5FE7" w:rsidRDefault="00000000">
            <w:pPr>
              <w:pStyle w:val="Compact"/>
              <w:keepNext/>
            </w:pPr>
            <w:r>
              <w:t>Stage 3</w:t>
            </w:r>
          </w:p>
        </w:tc>
        <w:tc>
          <w:tcPr>
            <w:tcW w:w="2600" w:type="dxa"/>
            <w:vAlign w:val="center"/>
          </w:tcPr>
          <w:p w14:paraId="04C58083" w14:textId="77777777" w:rsidR="00ED5FE7" w:rsidRDefault="00000000">
            <w:pPr>
              <w:pStyle w:val="Compact"/>
              <w:keepNext/>
              <w:jc w:val="center"/>
            </w:pPr>
            <w:r>
              <w:t>120</w:t>
            </w:r>
          </w:p>
        </w:tc>
      </w:tr>
      <w:tr w:rsidR="00ED5FE7" w14:paraId="436952FF" w14:textId="77777777" w:rsidTr="00ED5FE7">
        <w:trPr>
          <w:cantSplit/>
          <w:jc w:val="center"/>
        </w:trPr>
        <w:tc>
          <w:tcPr>
            <w:tcW w:w="2600" w:type="dxa"/>
            <w:vAlign w:val="center"/>
          </w:tcPr>
          <w:p w14:paraId="5070E52F" w14:textId="77777777" w:rsidR="00ED5FE7" w:rsidRDefault="00000000">
            <w:pPr>
              <w:pStyle w:val="Compact"/>
            </w:pPr>
            <w:r>
              <w:t>Stage 4</w:t>
            </w:r>
          </w:p>
        </w:tc>
        <w:tc>
          <w:tcPr>
            <w:tcW w:w="2600" w:type="dxa"/>
            <w:vAlign w:val="center"/>
          </w:tcPr>
          <w:p w14:paraId="16151F95" w14:textId="77777777" w:rsidR="00ED5FE7" w:rsidRDefault="00000000">
            <w:pPr>
              <w:pStyle w:val="Compact"/>
              <w:jc w:val="center"/>
            </w:pPr>
            <w:r>
              <w:t>109</w:t>
            </w:r>
          </w:p>
        </w:tc>
      </w:tr>
    </w:tbl>
    <w:p w14:paraId="3AA1DF7F" w14:textId="4E705313" w:rsidR="00ED5FE7" w:rsidRDefault="009B2675">
      <w:pPr>
        <w:pStyle w:val="CaptionedFigure"/>
        <w:spacing w:before="240"/>
      </w:pPr>
      <w:r>
        <w:rPr>
          <w:noProof/>
        </w:rPr>
        <w:lastRenderedPageBreak/>
        <w:drawing>
          <wp:inline distT="0" distB="0" distL="0" distR="0" wp14:anchorId="1485DA6D" wp14:editId="6AC46955">
            <wp:extent cx="3352459" cy="3032125"/>
            <wp:effectExtent l="0" t="0" r="0" b="0"/>
            <wp:docPr id="645669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2957" cy="3041620"/>
                    </a:xfrm>
                    <a:prstGeom prst="rect">
                      <a:avLst/>
                    </a:prstGeom>
                    <a:noFill/>
                  </pic:spPr>
                </pic:pic>
              </a:graphicData>
            </a:graphic>
          </wp:inline>
        </w:drawing>
      </w:r>
    </w:p>
    <w:p w14:paraId="6F07E353" w14:textId="77777777" w:rsidR="00ED5FE7" w:rsidRDefault="00000000">
      <w:pPr>
        <w:pStyle w:val="ImageCaption"/>
      </w:pPr>
      <w:r>
        <w:rPr>
          <w:b/>
          <w:bCs/>
        </w:rPr>
        <w:t>Figure 4.</w:t>
      </w:r>
      <w:r>
        <w:t xml:space="preserve"> Kaplan–Meier survival curves by disease stage.</w:t>
      </w:r>
    </w:p>
    <w:p w14:paraId="1CA8DF57" w14:textId="77777777" w:rsidR="00ED5FE7" w:rsidRDefault="00000000">
      <w:pPr>
        <w:pStyle w:val="BodyText"/>
      </w:pPr>
      <w:r>
        <w:t>The survival curves show substantial separation between disease-stage groups, particularly between the lower and higher stages.</w:t>
      </w:r>
    </w:p>
    <w:p w14:paraId="158CCD92" w14:textId="77777777" w:rsidR="00ED5FE7" w:rsidRDefault="00000000">
      <w:pPr>
        <w:pStyle w:val="BodyText"/>
      </w:pPr>
      <w:r>
        <w:t>The stage 4 group shows a considerably greater number of observed deaths relative to its expected number under the null hypothesis.</w:t>
      </w:r>
    </w:p>
    <w:p w14:paraId="55B72005" w14:textId="77777777" w:rsidR="00ED5FE7" w:rsidRDefault="00000000">
      <w:pPr>
        <w:pStyle w:val="Heading1"/>
      </w:pPr>
      <w:bookmarkStart w:id="20" w:name="log-rank-test-disease-stage"/>
      <w:bookmarkEnd w:id="19"/>
      <w:r>
        <w:t>14. Log-Rank Test: Disease Stage</w:t>
      </w:r>
    </w:p>
    <w:p w14:paraId="6D5452AE" w14:textId="77777777" w:rsidR="00ED5FE7" w:rsidRDefault="00000000">
      <w:pPr>
        <w:pStyle w:val="FirstParagraph"/>
      </w:pPr>
      <w:r>
        <w:t xml:space="preserve">The log-rank test produced </w:t>
      </w:r>
      <w:r>
        <w:rPr>
          <w:i/>
          <w:iCs/>
        </w:rPr>
        <w:t>χ</w:t>
      </w:r>
      <w:r>
        <w:rPr>
          <w:vertAlign w:val="superscript"/>
        </w:rPr>
        <w:t>2</w:t>
      </w:r>
      <w:r>
        <w:t xml:space="preserve"> = 53.8 with 3 degrees of freedom and </w:t>
      </w:r>
      <w:r>
        <w:rPr>
          <w:i/>
          <w:iCs/>
        </w:rPr>
        <w:t>p</w:t>
      </w:r>
      <w:r>
        <w:t> = 1.215 × 10</w:t>
      </w:r>
      <w:r>
        <w:rPr>
          <w:vertAlign w:val="superscript"/>
        </w:rPr>
        <w:t>−11</w:t>
      </w:r>
      <w:r>
        <w:t>.</w:t>
      </w:r>
    </w:p>
    <w:p w14:paraId="56F4C882" w14:textId="77777777" w:rsidR="00ED5FE7" w:rsidRDefault="00000000">
      <w:pPr>
        <w:pStyle w:val="Heading3"/>
      </w:pPr>
      <w:bookmarkStart w:id="21" w:name="interpretation-3"/>
      <w:r>
        <w:t>Interpretation</w:t>
      </w:r>
    </w:p>
    <w:p w14:paraId="07BD0144" w14:textId="77777777" w:rsidR="00ED5FE7" w:rsidRDefault="00000000">
      <w:pPr>
        <w:pStyle w:val="FirstParagraph"/>
      </w:pPr>
      <w:r>
        <w:t xml:space="preserve">The </w:t>
      </w:r>
      <w:r>
        <w:rPr>
          <w:i/>
          <w:iCs/>
        </w:rPr>
        <w:t>p</w:t>
      </w:r>
      <w:r>
        <w:t>-value is far below 0.05.</w:t>
      </w:r>
    </w:p>
    <w:p w14:paraId="78E63F9A" w14:textId="77777777" w:rsidR="00ED5FE7" w:rsidRDefault="00000000">
      <w:pPr>
        <w:pStyle w:val="BodyText"/>
      </w:pPr>
      <w:r>
        <w:t>Therefore, there is very strong statistical evidence that survival distributions differ across disease stages.</w:t>
      </w:r>
    </w:p>
    <w:p w14:paraId="3422F61A" w14:textId="77777777" w:rsidR="00ED5FE7" w:rsidRDefault="00000000">
      <w:pPr>
        <w:pStyle w:val="BodyText"/>
        <w:keepNext/>
      </w:pPr>
      <w:r>
        <w:t>The observed and expected deaths also illustrate the contribution of the different groups. For example:</w:t>
      </w:r>
    </w:p>
    <w:p w14:paraId="3C48005D" w14:textId="77777777" w:rsidR="00ED5FE7" w:rsidRDefault="00000000">
      <w:pPr>
        <w:numPr>
          <w:ilvl w:val="0"/>
          <w:numId w:val="12"/>
        </w:numPr>
        <w:spacing w:after="60" w:line="360" w:lineRule="auto"/>
      </w:pPr>
      <w:r>
        <w:t>Stage 1: 1 observed vs 9.9 expected</w:t>
      </w:r>
    </w:p>
    <w:p w14:paraId="3142BD1D" w14:textId="77777777" w:rsidR="00ED5FE7" w:rsidRDefault="00000000">
      <w:pPr>
        <w:numPr>
          <w:ilvl w:val="0"/>
          <w:numId w:val="12"/>
        </w:numPr>
        <w:spacing w:after="60" w:line="360" w:lineRule="auto"/>
      </w:pPr>
      <w:r>
        <w:t>Stage 2: 16 observed vs 32.3 expected</w:t>
      </w:r>
    </w:p>
    <w:p w14:paraId="685DC664" w14:textId="77777777" w:rsidR="00ED5FE7" w:rsidRDefault="00000000">
      <w:pPr>
        <w:numPr>
          <w:ilvl w:val="0"/>
          <w:numId w:val="12"/>
        </w:numPr>
        <w:spacing w:after="60" w:line="360" w:lineRule="auto"/>
      </w:pPr>
      <w:r>
        <w:t>Stage 3: 43 observed vs 51.2 expected</w:t>
      </w:r>
    </w:p>
    <w:p w14:paraId="7090E7C1" w14:textId="77777777" w:rsidR="00ED5FE7" w:rsidRDefault="00000000">
      <w:pPr>
        <w:numPr>
          <w:ilvl w:val="0"/>
          <w:numId w:val="12"/>
        </w:numPr>
        <w:spacing w:after="60" w:line="360" w:lineRule="auto"/>
      </w:pPr>
      <w:r>
        <w:t>Stage 4: 65 observed vs 31.6 expected.</w:t>
      </w:r>
    </w:p>
    <w:p w14:paraId="0217D9DE" w14:textId="77777777" w:rsidR="00ED5FE7" w:rsidRDefault="00000000">
      <w:pPr>
        <w:pStyle w:val="FirstParagraph"/>
      </w:pPr>
      <w:r>
        <w:t>Stage 4 contributes strongly to the overall log-rank statistic because considerably more deaths were observed in this group than would be expected if survival were the same across stages.</w:t>
      </w:r>
    </w:p>
    <w:p w14:paraId="680DCBC6" w14:textId="77777777" w:rsidR="00ED5FE7" w:rsidRDefault="00000000">
      <w:pPr>
        <w:pStyle w:val="Heading1"/>
      </w:pPr>
      <w:bookmarkStart w:id="22" w:name="cox-proportional-hazards-model"/>
      <w:bookmarkEnd w:id="20"/>
      <w:bookmarkEnd w:id="21"/>
      <w:r>
        <w:lastRenderedPageBreak/>
        <w:t>15. Cox Proportional Hazards Model</w:t>
      </w:r>
    </w:p>
    <w:p w14:paraId="744F58A0" w14:textId="77777777" w:rsidR="00ED5FE7" w:rsidRDefault="00000000">
      <w:pPr>
        <w:pStyle w:val="FirstParagraph"/>
      </w:pPr>
      <w:r>
        <w:t>The Cox proportional hazards model was fitted using</w:t>
      </w:r>
    </w:p>
    <w:p w14:paraId="2307DFF9" w14:textId="77777777" w:rsidR="00ED5FE7" w:rsidRDefault="00000000">
      <w:pPr>
        <w:pStyle w:val="EquationDisplay"/>
      </w:pPr>
      <m:oMathPara>
        <m:oMathParaPr>
          <m:jc m:val="center"/>
        </m:oMathParaPr>
        <m:oMath>
          <m:r>
            <m:rPr>
              <m:sty m:val="p"/>
            </m:rPr>
            <w:rPr>
              <w:rFonts w:ascii="Cambria Math" w:hAnsi="Cambria Math"/>
            </w:rPr>
            <m:t>Age+Sex+Treatment+Bilirubin+Albumin+Edema+Stage</m:t>
          </m:r>
        </m:oMath>
      </m:oMathPara>
    </w:p>
    <w:p w14:paraId="00281207" w14:textId="77777777" w:rsidR="00ED5FE7" w:rsidRDefault="00000000">
      <w:pPr>
        <w:pStyle w:val="FirstParagraph"/>
      </w:pPr>
      <w:r>
        <w:t>The model contained 312 observations and 125 events.</w:t>
      </w:r>
    </w:p>
    <w:p w14:paraId="1C483D5C" w14:textId="77777777" w:rsidR="00ED5FE7" w:rsidRDefault="00000000">
      <w:pPr>
        <w:pStyle w:val="BodyText"/>
      </w:pPr>
      <w:r>
        <w:t>The fitted model was</w:t>
      </w:r>
    </w:p>
    <w:tbl>
      <w:tblPr>
        <w:tblStyle w:val="Table"/>
        <w:tblW w:w="9026"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7"/>
        <w:gridCol w:w="7892"/>
        <w:gridCol w:w="567"/>
      </w:tblGrid>
      <w:tr w:rsidR="00ED5FE7" w14:paraId="5CE1FD80" w14:textId="77777777" w:rsidTr="00ED5FE7">
        <w:trPr>
          <w:cantSplit/>
          <w:jc w:val="center"/>
        </w:trPr>
        <w:tc>
          <w:tcPr>
            <w:tcW w:w="567" w:type="dxa"/>
            <w:vAlign w:val="center"/>
          </w:tcPr>
          <w:p w14:paraId="1A66A959" w14:textId="77777777" w:rsidR="00ED5FE7" w:rsidRDefault="00ED5FE7">
            <w:pPr>
              <w:pStyle w:val="EquationNumber"/>
            </w:pPr>
          </w:p>
        </w:tc>
        <w:tc>
          <w:tcPr>
            <w:tcW w:w="7892" w:type="dxa"/>
            <w:vAlign w:val="center"/>
          </w:tcPr>
          <w:p w14:paraId="6F7B82A9" w14:textId="77777777" w:rsidR="00ED5FE7" w:rsidRDefault="00000000">
            <w:pPr>
              <w:pStyle w:val="EquationDisplay"/>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h</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exp(</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r>
                        <m:rPr>
                          <m:sty m:val="p"/>
                        </m:rPr>
                        <w:rPr>
                          <w:rFonts w:ascii="Cambria Math" w:hAnsi="Cambria Math"/>
                        </w:rPr>
                        <m:t>Age+</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r>
                        <m:rPr>
                          <m:sty m:val="p"/>
                        </m:rPr>
                        <w:rPr>
                          <w:rFonts w:ascii="Cambria Math" w:hAnsi="Cambria Math"/>
                        </w:rPr>
                        <m:t>Sex+</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m:t>
                      </m:r>
                      <m:r>
                        <m:rPr>
                          <m:sty m:val="p"/>
                        </m:rPr>
                        <w:rPr>
                          <w:rFonts w:ascii="Cambria Math" w:hAnsi="Cambria Math"/>
                        </w:rPr>
                        <m:t>Treatment</m:t>
                      </m:r>
                    </m:e>
                  </m:mr>
                  <m:mr>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 </m:t>
                      </m:r>
                      <m:r>
                        <m:rPr>
                          <m:sty m:val="p"/>
                        </m:rPr>
                        <w:rPr>
                          <w:rFonts w:ascii="Cambria Math" w:hAnsi="Cambria Math"/>
                        </w:rPr>
                        <m:t>Bilirubin+</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 </m:t>
                      </m:r>
                      <m:r>
                        <m:rPr>
                          <m:sty m:val="p"/>
                        </m:rPr>
                        <w:rPr>
                          <w:rFonts w:ascii="Cambria Math" w:hAnsi="Cambria Math"/>
                        </w:rPr>
                        <m:t>Albumin+</m:t>
                      </m:r>
                      <m:sSub>
                        <m:sSubPr>
                          <m:ctrlPr>
                            <w:rPr>
                              <w:rFonts w:ascii="Cambria Math" w:hAnsi="Cambria Math"/>
                            </w:rPr>
                          </m:ctrlPr>
                        </m:sSubPr>
                        <m:e>
                          <m:r>
                            <w:rPr>
                              <w:rFonts w:ascii="Cambria Math" w:hAnsi="Cambria Math"/>
                            </w:rPr>
                            <m:t>β</m:t>
                          </m:r>
                        </m:e>
                        <m:sub>
                          <m:r>
                            <w:rPr>
                              <w:rFonts w:ascii="Cambria Math" w:hAnsi="Cambria Math"/>
                            </w:rPr>
                            <m:t>6</m:t>
                          </m:r>
                        </m:sub>
                      </m:sSub>
                      <m:r>
                        <w:rPr>
                          <w:rFonts w:ascii="Cambria Math" w:hAnsi="Cambria Math"/>
                        </w:rPr>
                        <m:t> </m:t>
                      </m:r>
                      <m:r>
                        <m:rPr>
                          <m:sty m:val="p"/>
                        </m:rPr>
                        <w:rPr>
                          <w:rFonts w:ascii="Cambria Math" w:hAnsi="Cambria Math"/>
                        </w:rPr>
                        <m:t>Edema+</m:t>
                      </m:r>
                      <m:sSub>
                        <m:sSubPr>
                          <m:ctrlPr>
                            <w:rPr>
                              <w:rFonts w:ascii="Cambria Math" w:hAnsi="Cambria Math"/>
                            </w:rPr>
                          </m:ctrlPr>
                        </m:sSubPr>
                        <m:e>
                          <m:r>
                            <w:rPr>
                              <w:rFonts w:ascii="Cambria Math" w:hAnsi="Cambria Math"/>
                            </w:rPr>
                            <m:t>β</m:t>
                          </m:r>
                        </m:e>
                        <m:sub>
                          <m:r>
                            <w:rPr>
                              <w:rFonts w:ascii="Cambria Math" w:hAnsi="Cambria Math"/>
                            </w:rPr>
                            <m:t>7</m:t>
                          </m:r>
                        </m:sub>
                      </m:sSub>
                      <m:r>
                        <w:rPr>
                          <w:rFonts w:ascii="Cambria Math" w:hAnsi="Cambria Math"/>
                        </w:rPr>
                        <m:t> </m:t>
                      </m:r>
                      <m:r>
                        <m:rPr>
                          <m:sty m:val="p"/>
                        </m:rPr>
                        <w:rPr>
                          <w:rFonts w:ascii="Cambria Math" w:hAnsi="Cambria Math"/>
                        </w:rPr>
                        <m:t>Stage)</m:t>
                      </m:r>
                    </m:e>
                  </m:mr>
                </m:m>
              </m:oMath>
            </m:oMathPara>
          </w:p>
        </w:tc>
        <w:tc>
          <w:tcPr>
            <w:tcW w:w="567" w:type="dxa"/>
            <w:vAlign w:val="center"/>
          </w:tcPr>
          <w:p w14:paraId="70508A99" w14:textId="77777777" w:rsidR="00ED5FE7" w:rsidRDefault="00000000">
            <w:pPr>
              <w:pStyle w:val="EquationNumber"/>
            </w:pPr>
            <w:r>
              <w:t>(6)</w:t>
            </w:r>
          </w:p>
        </w:tc>
      </w:tr>
    </w:tbl>
    <w:p w14:paraId="64C70352" w14:textId="77777777" w:rsidR="00ED5FE7" w:rsidRDefault="00000000">
      <w:pPr>
        <w:pStyle w:val="Heading1"/>
      </w:pPr>
      <w:bookmarkStart w:id="23" w:name="cox-regression-results"/>
      <w:bookmarkEnd w:id="22"/>
      <w:r>
        <w:t>16. Cox Regression Results</w:t>
      </w:r>
    </w:p>
    <w:p w14:paraId="41D7493D" w14:textId="77777777" w:rsidR="00ED5FE7" w:rsidRDefault="00000000">
      <w:pPr>
        <w:pStyle w:val="TableCaption"/>
      </w:pPr>
      <w:r>
        <w:rPr>
          <w:b/>
          <w:bCs/>
        </w:rPr>
        <w:t>Table 3.</w:t>
      </w:r>
      <w:r>
        <w:t xml:space="preserve"> Multivariable Cox regression results (hazard ratios with 95% confidence intervals).</w:t>
      </w:r>
    </w:p>
    <w:tbl>
      <w:tblPr>
        <w:tblStyle w:val="Table"/>
        <w:tblW w:w="8500" w:type="dxa"/>
        <w:jc w:val="center"/>
        <w:tblBorders>
          <w:top w:val="single" w:sz="12" w:space="0" w:color="000000"/>
          <w:left w:val="nil"/>
          <w:bottom w:val="single" w:sz="12" w:space="0" w:color="000000"/>
          <w:right w:val="nil"/>
          <w:insideH w:val="nil"/>
          <w:insideV w:val="nil"/>
        </w:tblBorders>
        <w:tblLayout w:type="fixed"/>
        <w:tblCellMar>
          <w:top w:w="30" w:type="dxa"/>
          <w:left w:w="100" w:type="dxa"/>
          <w:bottom w:w="30" w:type="dxa"/>
          <w:right w:w="100" w:type="dxa"/>
        </w:tblCellMar>
        <w:tblLook w:val="0000" w:firstRow="0" w:lastRow="0" w:firstColumn="0" w:lastColumn="0" w:noHBand="0" w:noVBand="0"/>
      </w:tblPr>
      <w:tblGrid>
        <w:gridCol w:w="3300"/>
        <w:gridCol w:w="1500"/>
        <w:gridCol w:w="2300"/>
        <w:gridCol w:w="1400"/>
      </w:tblGrid>
      <w:tr w:rsidR="00ED5FE7" w14:paraId="40FE6ED0" w14:textId="77777777" w:rsidTr="00ED5FE7">
        <w:trPr>
          <w:cantSplit/>
          <w:tblHeader/>
          <w:jc w:val="center"/>
        </w:trPr>
        <w:tc>
          <w:tcPr>
            <w:tcW w:w="3300" w:type="dxa"/>
            <w:tcBorders>
              <w:bottom w:val="single" w:sz="6" w:space="0" w:color="000000"/>
            </w:tcBorders>
            <w:vAlign w:val="center"/>
          </w:tcPr>
          <w:p w14:paraId="7B218AF0" w14:textId="77777777" w:rsidR="00ED5FE7" w:rsidRDefault="00000000">
            <w:pPr>
              <w:pStyle w:val="Compact"/>
              <w:keepNext/>
            </w:pPr>
            <w:r>
              <w:rPr>
                <w:b/>
              </w:rPr>
              <w:t>Variable</w:t>
            </w:r>
          </w:p>
        </w:tc>
        <w:tc>
          <w:tcPr>
            <w:tcW w:w="1500" w:type="dxa"/>
            <w:tcBorders>
              <w:bottom w:val="single" w:sz="6" w:space="0" w:color="000000"/>
            </w:tcBorders>
            <w:vAlign w:val="center"/>
          </w:tcPr>
          <w:p w14:paraId="50DC1AF6" w14:textId="77777777" w:rsidR="00ED5FE7" w:rsidRDefault="00000000">
            <w:pPr>
              <w:pStyle w:val="Compact"/>
              <w:keepNext/>
              <w:jc w:val="center"/>
            </w:pPr>
            <w:r>
              <w:rPr>
                <w:b/>
              </w:rPr>
              <w:t>Hazard ratio</w:t>
            </w:r>
          </w:p>
        </w:tc>
        <w:tc>
          <w:tcPr>
            <w:tcW w:w="2300" w:type="dxa"/>
            <w:tcBorders>
              <w:bottom w:val="single" w:sz="6" w:space="0" w:color="000000"/>
            </w:tcBorders>
            <w:vAlign w:val="center"/>
          </w:tcPr>
          <w:p w14:paraId="27034049" w14:textId="77777777" w:rsidR="00ED5FE7" w:rsidRDefault="00000000">
            <w:pPr>
              <w:pStyle w:val="Compact"/>
              <w:keepNext/>
              <w:jc w:val="center"/>
            </w:pPr>
            <w:r>
              <w:rPr>
                <w:b/>
              </w:rPr>
              <w:t>95% CI</w:t>
            </w:r>
          </w:p>
        </w:tc>
        <w:tc>
          <w:tcPr>
            <w:tcW w:w="1400" w:type="dxa"/>
            <w:tcBorders>
              <w:bottom w:val="single" w:sz="6" w:space="0" w:color="000000"/>
            </w:tcBorders>
            <w:vAlign w:val="center"/>
          </w:tcPr>
          <w:p w14:paraId="42C60018" w14:textId="77777777" w:rsidR="00ED5FE7" w:rsidRDefault="00000000">
            <w:pPr>
              <w:pStyle w:val="Compact"/>
              <w:keepNext/>
              <w:jc w:val="center"/>
            </w:pPr>
            <w:r>
              <w:rPr>
                <w:b/>
                <w:i/>
                <w:iCs/>
              </w:rPr>
              <w:t>p</w:t>
            </w:r>
            <w:r>
              <w:rPr>
                <w:b/>
              </w:rPr>
              <w:t>-value</w:t>
            </w:r>
          </w:p>
        </w:tc>
      </w:tr>
      <w:tr w:rsidR="00ED5FE7" w14:paraId="5B8F3FD4" w14:textId="77777777" w:rsidTr="00ED5FE7">
        <w:trPr>
          <w:cantSplit/>
          <w:jc w:val="center"/>
        </w:trPr>
        <w:tc>
          <w:tcPr>
            <w:tcW w:w="3300" w:type="dxa"/>
            <w:vAlign w:val="center"/>
          </w:tcPr>
          <w:p w14:paraId="7BEDF016" w14:textId="77777777" w:rsidR="00ED5FE7" w:rsidRDefault="00000000">
            <w:pPr>
              <w:pStyle w:val="Compact"/>
              <w:keepNext/>
            </w:pPr>
            <w:r>
              <w:t>Age</w:t>
            </w:r>
          </w:p>
        </w:tc>
        <w:tc>
          <w:tcPr>
            <w:tcW w:w="1500" w:type="dxa"/>
            <w:vAlign w:val="center"/>
          </w:tcPr>
          <w:p w14:paraId="7220639E" w14:textId="77777777" w:rsidR="00ED5FE7" w:rsidRDefault="00000000">
            <w:pPr>
              <w:pStyle w:val="Compact"/>
              <w:keepNext/>
              <w:jc w:val="center"/>
            </w:pPr>
            <w:r>
              <w:t>1.0249</w:t>
            </w:r>
          </w:p>
        </w:tc>
        <w:tc>
          <w:tcPr>
            <w:tcW w:w="2300" w:type="dxa"/>
            <w:vAlign w:val="center"/>
          </w:tcPr>
          <w:p w14:paraId="5F9A8654" w14:textId="77777777" w:rsidR="00ED5FE7" w:rsidRDefault="00000000">
            <w:pPr>
              <w:pStyle w:val="Compact"/>
              <w:keepNext/>
              <w:jc w:val="center"/>
            </w:pPr>
            <w:r>
              <w:t>1.0056–1.0445</w:t>
            </w:r>
          </w:p>
        </w:tc>
        <w:tc>
          <w:tcPr>
            <w:tcW w:w="1400" w:type="dxa"/>
            <w:vAlign w:val="center"/>
          </w:tcPr>
          <w:p w14:paraId="46202DF1" w14:textId="77777777" w:rsidR="00ED5FE7" w:rsidRDefault="00000000">
            <w:pPr>
              <w:pStyle w:val="Compact"/>
              <w:keepNext/>
              <w:jc w:val="center"/>
            </w:pPr>
            <w:r>
              <w:t>0.0111</w:t>
            </w:r>
          </w:p>
        </w:tc>
      </w:tr>
      <w:tr w:rsidR="00ED5FE7" w14:paraId="67C30F42" w14:textId="77777777" w:rsidTr="00ED5FE7">
        <w:trPr>
          <w:cantSplit/>
          <w:jc w:val="center"/>
        </w:trPr>
        <w:tc>
          <w:tcPr>
            <w:tcW w:w="3300" w:type="dxa"/>
            <w:vAlign w:val="center"/>
          </w:tcPr>
          <w:p w14:paraId="21909A95" w14:textId="77777777" w:rsidR="00ED5FE7" w:rsidRDefault="00000000">
            <w:pPr>
              <w:pStyle w:val="Compact"/>
              <w:keepNext/>
            </w:pPr>
            <w:r>
              <w:t>Female vs male</w:t>
            </w:r>
          </w:p>
        </w:tc>
        <w:tc>
          <w:tcPr>
            <w:tcW w:w="1500" w:type="dxa"/>
            <w:vAlign w:val="center"/>
          </w:tcPr>
          <w:p w14:paraId="4387158E" w14:textId="77777777" w:rsidR="00ED5FE7" w:rsidRDefault="00000000">
            <w:pPr>
              <w:pStyle w:val="Compact"/>
              <w:keepNext/>
              <w:jc w:val="center"/>
            </w:pPr>
            <w:r>
              <w:t>0.5521</w:t>
            </w:r>
          </w:p>
        </w:tc>
        <w:tc>
          <w:tcPr>
            <w:tcW w:w="2300" w:type="dxa"/>
            <w:vAlign w:val="center"/>
          </w:tcPr>
          <w:p w14:paraId="3052B0BE" w14:textId="77777777" w:rsidR="00ED5FE7" w:rsidRDefault="00000000">
            <w:pPr>
              <w:pStyle w:val="Compact"/>
              <w:keepNext/>
              <w:jc w:val="center"/>
            </w:pPr>
            <w:r>
              <w:t>0.3350–0.9101</w:t>
            </w:r>
          </w:p>
        </w:tc>
        <w:tc>
          <w:tcPr>
            <w:tcW w:w="1400" w:type="dxa"/>
            <w:vAlign w:val="center"/>
          </w:tcPr>
          <w:p w14:paraId="6F533FCA" w14:textId="77777777" w:rsidR="00ED5FE7" w:rsidRDefault="00000000">
            <w:pPr>
              <w:pStyle w:val="Compact"/>
              <w:keepNext/>
              <w:jc w:val="center"/>
            </w:pPr>
            <w:r>
              <w:t>0.0198</w:t>
            </w:r>
          </w:p>
        </w:tc>
      </w:tr>
      <w:tr w:rsidR="00ED5FE7" w14:paraId="5A6A10BC" w14:textId="77777777" w:rsidTr="00ED5FE7">
        <w:trPr>
          <w:cantSplit/>
          <w:jc w:val="center"/>
        </w:trPr>
        <w:tc>
          <w:tcPr>
            <w:tcW w:w="3300" w:type="dxa"/>
            <w:vAlign w:val="center"/>
          </w:tcPr>
          <w:p w14:paraId="412D3FF4" w14:textId="77777777" w:rsidR="00ED5FE7" w:rsidRDefault="00000000">
            <w:pPr>
              <w:pStyle w:val="Compact"/>
              <w:keepNext/>
            </w:pPr>
            <w:r>
              <w:t>Treatment 2 vs Treatment 1</w:t>
            </w:r>
          </w:p>
        </w:tc>
        <w:tc>
          <w:tcPr>
            <w:tcW w:w="1500" w:type="dxa"/>
            <w:vAlign w:val="center"/>
          </w:tcPr>
          <w:p w14:paraId="7FFB3978" w14:textId="77777777" w:rsidR="00ED5FE7" w:rsidRDefault="00000000">
            <w:pPr>
              <w:pStyle w:val="Compact"/>
              <w:keepNext/>
              <w:jc w:val="center"/>
            </w:pPr>
            <w:r>
              <w:t>0.9746</w:t>
            </w:r>
          </w:p>
        </w:tc>
        <w:tc>
          <w:tcPr>
            <w:tcW w:w="2300" w:type="dxa"/>
            <w:vAlign w:val="center"/>
          </w:tcPr>
          <w:p w14:paraId="63D8BBE2" w14:textId="77777777" w:rsidR="00ED5FE7" w:rsidRDefault="00000000">
            <w:pPr>
              <w:pStyle w:val="Compact"/>
              <w:keepNext/>
              <w:jc w:val="center"/>
            </w:pPr>
            <w:r>
              <w:t>0.6775–1.4021</w:t>
            </w:r>
          </w:p>
        </w:tc>
        <w:tc>
          <w:tcPr>
            <w:tcW w:w="1400" w:type="dxa"/>
            <w:vAlign w:val="center"/>
          </w:tcPr>
          <w:p w14:paraId="0CACC0B8" w14:textId="77777777" w:rsidR="00ED5FE7" w:rsidRDefault="00000000">
            <w:pPr>
              <w:pStyle w:val="Compact"/>
              <w:keepNext/>
              <w:jc w:val="center"/>
            </w:pPr>
            <w:r>
              <w:t>0.8899</w:t>
            </w:r>
          </w:p>
        </w:tc>
      </w:tr>
      <w:tr w:rsidR="00ED5FE7" w14:paraId="5B6A5AEA" w14:textId="77777777" w:rsidTr="00ED5FE7">
        <w:trPr>
          <w:cantSplit/>
          <w:jc w:val="center"/>
        </w:trPr>
        <w:tc>
          <w:tcPr>
            <w:tcW w:w="3300" w:type="dxa"/>
            <w:vAlign w:val="center"/>
          </w:tcPr>
          <w:p w14:paraId="3210D77C" w14:textId="77777777" w:rsidR="00ED5FE7" w:rsidRDefault="00000000">
            <w:pPr>
              <w:pStyle w:val="Compact"/>
              <w:keepNext/>
            </w:pPr>
            <w:r>
              <w:t>Bilirubin</w:t>
            </w:r>
          </w:p>
        </w:tc>
        <w:tc>
          <w:tcPr>
            <w:tcW w:w="1500" w:type="dxa"/>
            <w:vAlign w:val="center"/>
          </w:tcPr>
          <w:p w14:paraId="4B278C0F" w14:textId="77777777" w:rsidR="00ED5FE7" w:rsidRDefault="00000000">
            <w:pPr>
              <w:pStyle w:val="Compact"/>
              <w:keepNext/>
              <w:jc w:val="center"/>
            </w:pPr>
            <w:r>
              <w:t>1.1347</w:t>
            </w:r>
          </w:p>
        </w:tc>
        <w:tc>
          <w:tcPr>
            <w:tcW w:w="2300" w:type="dxa"/>
            <w:vAlign w:val="center"/>
          </w:tcPr>
          <w:p w14:paraId="4734F763" w14:textId="77777777" w:rsidR="00ED5FE7" w:rsidRDefault="00000000">
            <w:pPr>
              <w:pStyle w:val="Compact"/>
              <w:keepNext/>
              <w:jc w:val="center"/>
            </w:pPr>
            <w:r>
              <w:t>1.1012–1.1692</w:t>
            </w:r>
          </w:p>
        </w:tc>
        <w:tc>
          <w:tcPr>
            <w:tcW w:w="1400" w:type="dxa"/>
            <w:vAlign w:val="center"/>
          </w:tcPr>
          <w:p w14:paraId="560365EF" w14:textId="77777777" w:rsidR="00ED5FE7" w:rsidRDefault="00000000">
            <w:pPr>
              <w:pStyle w:val="Compact"/>
              <w:keepNext/>
              <w:jc w:val="center"/>
            </w:pPr>
            <w:r>
              <w:t>&lt; 0.001</w:t>
            </w:r>
          </w:p>
        </w:tc>
      </w:tr>
      <w:tr w:rsidR="00ED5FE7" w14:paraId="3DB10C53" w14:textId="77777777" w:rsidTr="00ED5FE7">
        <w:trPr>
          <w:cantSplit/>
          <w:jc w:val="center"/>
        </w:trPr>
        <w:tc>
          <w:tcPr>
            <w:tcW w:w="3300" w:type="dxa"/>
            <w:vAlign w:val="center"/>
          </w:tcPr>
          <w:p w14:paraId="1A2E9BBA" w14:textId="77777777" w:rsidR="00ED5FE7" w:rsidRDefault="00000000">
            <w:pPr>
              <w:pStyle w:val="Compact"/>
              <w:keepNext/>
            </w:pPr>
            <w:r>
              <w:t>Albumin</w:t>
            </w:r>
          </w:p>
        </w:tc>
        <w:tc>
          <w:tcPr>
            <w:tcW w:w="1500" w:type="dxa"/>
            <w:vAlign w:val="center"/>
          </w:tcPr>
          <w:p w14:paraId="0918E473" w14:textId="77777777" w:rsidR="00ED5FE7" w:rsidRDefault="00000000">
            <w:pPr>
              <w:pStyle w:val="Compact"/>
              <w:keepNext/>
              <w:jc w:val="center"/>
            </w:pPr>
            <w:r>
              <w:t>0.3950</w:t>
            </w:r>
          </w:p>
        </w:tc>
        <w:tc>
          <w:tcPr>
            <w:tcW w:w="2300" w:type="dxa"/>
            <w:vAlign w:val="center"/>
          </w:tcPr>
          <w:p w14:paraId="1B00B3E5" w14:textId="77777777" w:rsidR="00ED5FE7" w:rsidRDefault="00000000">
            <w:pPr>
              <w:pStyle w:val="Compact"/>
              <w:keepNext/>
              <w:jc w:val="center"/>
            </w:pPr>
            <w:r>
              <w:t>0.2394–0.6519</w:t>
            </w:r>
          </w:p>
        </w:tc>
        <w:tc>
          <w:tcPr>
            <w:tcW w:w="1400" w:type="dxa"/>
            <w:vAlign w:val="center"/>
          </w:tcPr>
          <w:p w14:paraId="050220CD" w14:textId="77777777" w:rsidR="00ED5FE7" w:rsidRDefault="00000000">
            <w:pPr>
              <w:pStyle w:val="Compact"/>
              <w:keepNext/>
              <w:jc w:val="center"/>
            </w:pPr>
            <w:r>
              <w:t>&lt; 0.001</w:t>
            </w:r>
          </w:p>
        </w:tc>
      </w:tr>
      <w:tr w:rsidR="00ED5FE7" w14:paraId="3B33C781" w14:textId="77777777" w:rsidTr="00ED5FE7">
        <w:trPr>
          <w:cantSplit/>
          <w:jc w:val="center"/>
        </w:trPr>
        <w:tc>
          <w:tcPr>
            <w:tcW w:w="3300" w:type="dxa"/>
            <w:vAlign w:val="center"/>
          </w:tcPr>
          <w:p w14:paraId="4C329A4D" w14:textId="77777777" w:rsidR="00ED5FE7" w:rsidRDefault="00000000">
            <w:pPr>
              <w:pStyle w:val="Compact"/>
              <w:keepNext/>
            </w:pPr>
            <w:r>
              <w:t>Edema</w:t>
            </w:r>
          </w:p>
        </w:tc>
        <w:tc>
          <w:tcPr>
            <w:tcW w:w="1500" w:type="dxa"/>
            <w:vAlign w:val="center"/>
          </w:tcPr>
          <w:p w14:paraId="4C56671F" w14:textId="77777777" w:rsidR="00ED5FE7" w:rsidRDefault="00000000">
            <w:pPr>
              <w:pStyle w:val="Compact"/>
              <w:keepNext/>
              <w:jc w:val="center"/>
            </w:pPr>
            <w:r>
              <w:t>2.6486</w:t>
            </w:r>
          </w:p>
        </w:tc>
        <w:tc>
          <w:tcPr>
            <w:tcW w:w="2300" w:type="dxa"/>
            <w:vAlign w:val="center"/>
          </w:tcPr>
          <w:p w14:paraId="29BEE05D" w14:textId="77777777" w:rsidR="00ED5FE7" w:rsidRDefault="00000000">
            <w:pPr>
              <w:pStyle w:val="Compact"/>
              <w:keepNext/>
              <w:jc w:val="center"/>
            </w:pPr>
            <w:r>
              <w:t>1.4292–4.9083</w:t>
            </w:r>
          </w:p>
        </w:tc>
        <w:tc>
          <w:tcPr>
            <w:tcW w:w="1400" w:type="dxa"/>
            <w:vAlign w:val="center"/>
          </w:tcPr>
          <w:p w14:paraId="1AB209EF" w14:textId="77777777" w:rsidR="00ED5FE7" w:rsidRDefault="00000000">
            <w:pPr>
              <w:pStyle w:val="Compact"/>
              <w:keepNext/>
              <w:jc w:val="center"/>
            </w:pPr>
            <w:r>
              <w:t>0.0020</w:t>
            </w:r>
          </w:p>
        </w:tc>
      </w:tr>
      <w:tr w:rsidR="00ED5FE7" w14:paraId="49E19789" w14:textId="77777777" w:rsidTr="00ED5FE7">
        <w:trPr>
          <w:cantSplit/>
          <w:jc w:val="center"/>
        </w:trPr>
        <w:tc>
          <w:tcPr>
            <w:tcW w:w="3300" w:type="dxa"/>
            <w:vAlign w:val="center"/>
          </w:tcPr>
          <w:p w14:paraId="4C7963BF" w14:textId="77777777" w:rsidR="00ED5FE7" w:rsidRDefault="00000000">
            <w:pPr>
              <w:pStyle w:val="Compact"/>
              <w:keepNext/>
            </w:pPr>
            <w:r>
              <w:t>Stage 2 vs Stage 1</w:t>
            </w:r>
          </w:p>
        </w:tc>
        <w:tc>
          <w:tcPr>
            <w:tcW w:w="1500" w:type="dxa"/>
            <w:vAlign w:val="center"/>
          </w:tcPr>
          <w:p w14:paraId="67F485F4" w14:textId="77777777" w:rsidR="00ED5FE7" w:rsidRDefault="00000000">
            <w:pPr>
              <w:pStyle w:val="Compact"/>
              <w:keepNext/>
              <w:jc w:val="center"/>
            </w:pPr>
            <w:r>
              <w:t>4.0164</w:t>
            </w:r>
          </w:p>
        </w:tc>
        <w:tc>
          <w:tcPr>
            <w:tcW w:w="2300" w:type="dxa"/>
            <w:vAlign w:val="center"/>
          </w:tcPr>
          <w:p w14:paraId="2AC3CD3D" w14:textId="77777777" w:rsidR="00ED5FE7" w:rsidRDefault="00000000">
            <w:pPr>
              <w:pStyle w:val="Compact"/>
              <w:keepNext/>
              <w:jc w:val="center"/>
            </w:pPr>
            <w:r>
              <w:t>0.5255–30.6970</w:t>
            </w:r>
          </w:p>
        </w:tc>
        <w:tc>
          <w:tcPr>
            <w:tcW w:w="1400" w:type="dxa"/>
            <w:vAlign w:val="center"/>
          </w:tcPr>
          <w:p w14:paraId="34A570B5" w14:textId="77777777" w:rsidR="00ED5FE7" w:rsidRDefault="00000000">
            <w:pPr>
              <w:pStyle w:val="Compact"/>
              <w:keepNext/>
              <w:jc w:val="center"/>
            </w:pPr>
            <w:r>
              <w:t>0.1803</w:t>
            </w:r>
          </w:p>
        </w:tc>
      </w:tr>
      <w:tr w:rsidR="00ED5FE7" w14:paraId="30DC9A46" w14:textId="77777777" w:rsidTr="00ED5FE7">
        <w:trPr>
          <w:cantSplit/>
          <w:jc w:val="center"/>
        </w:trPr>
        <w:tc>
          <w:tcPr>
            <w:tcW w:w="3300" w:type="dxa"/>
            <w:vAlign w:val="center"/>
          </w:tcPr>
          <w:p w14:paraId="6E7F3D0E" w14:textId="77777777" w:rsidR="00ED5FE7" w:rsidRDefault="00000000">
            <w:pPr>
              <w:pStyle w:val="Compact"/>
              <w:keepNext/>
            </w:pPr>
            <w:r>
              <w:t>Stage 3 vs Stage 1</w:t>
            </w:r>
          </w:p>
        </w:tc>
        <w:tc>
          <w:tcPr>
            <w:tcW w:w="1500" w:type="dxa"/>
            <w:vAlign w:val="center"/>
          </w:tcPr>
          <w:p w14:paraId="22563D92" w14:textId="77777777" w:rsidR="00ED5FE7" w:rsidRDefault="00000000">
            <w:pPr>
              <w:pStyle w:val="Compact"/>
              <w:keepNext/>
              <w:jc w:val="center"/>
            </w:pPr>
            <w:r>
              <w:t>5.8084</w:t>
            </w:r>
          </w:p>
        </w:tc>
        <w:tc>
          <w:tcPr>
            <w:tcW w:w="2300" w:type="dxa"/>
            <w:vAlign w:val="center"/>
          </w:tcPr>
          <w:p w14:paraId="6184CAB3" w14:textId="77777777" w:rsidR="00ED5FE7" w:rsidRDefault="00000000">
            <w:pPr>
              <w:pStyle w:val="Compact"/>
              <w:keepNext/>
              <w:jc w:val="center"/>
            </w:pPr>
            <w:r>
              <w:t>0.7876–42.8362</w:t>
            </w:r>
          </w:p>
        </w:tc>
        <w:tc>
          <w:tcPr>
            <w:tcW w:w="1400" w:type="dxa"/>
            <w:vAlign w:val="center"/>
          </w:tcPr>
          <w:p w14:paraId="3E612BDD" w14:textId="77777777" w:rsidR="00ED5FE7" w:rsidRDefault="00000000">
            <w:pPr>
              <w:pStyle w:val="Compact"/>
              <w:keepNext/>
              <w:jc w:val="center"/>
            </w:pPr>
            <w:r>
              <w:t>0.0844</w:t>
            </w:r>
          </w:p>
        </w:tc>
      </w:tr>
      <w:tr w:rsidR="00ED5FE7" w14:paraId="511657B3" w14:textId="77777777" w:rsidTr="00ED5FE7">
        <w:trPr>
          <w:cantSplit/>
          <w:jc w:val="center"/>
        </w:trPr>
        <w:tc>
          <w:tcPr>
            <w:tcW w:w="3300" w:type="dxa"/>
            <w:vAlign w:val="center"/>
          </w:tcPr>
          <w:p w14:paraId="1A1732DE" w14:textId="77777777" w:rsidR="00ED5FE7" w:rsidRDefault="00000000">
            <w:pPr>
              <w:pStyle w:val="Compact"/>
            </w:pPr>
            <w:r>
              <w:t>Stage 4 vs Stage 1</w:t>
            </w:r>
          </w:p>
        </w:tc>
        <w:tc>
          <w:tcPr>
            <w:tcW w:w="1500" w:type="dxa"/>
            <w:vAlign w:val="center"/>
          </w:tcPr>
          <w:p w14:paraId="07073469" w14:textId="77777777" w:rsidR="00ED5FE7" w:rsidRDefault="00000000">
            <w:pPr>
              <w:pStyle w:val="Compact"/>
              <w:jc w:val="center"/>
            </w:pPr>
            <w:r>
              <w:t>9.4656</w:t>
            </w:r>
          </w:p>
        </w:tc>
        <w:tc>
          <w:tcPr>
            <w:tcW w:w="2300" w:type="dxa"/>
            <w:vAlign w:val="center"/>
          </w:tcPr>
          <w:p w14:paraId="3A7257BE" w14:textId="77777777" w:rsidR="00ED5FE7" w:rsidRDefault="00000000">
            <w:pPr>
              <w:pStyle w:val="Compact"/>
              <w:jc w:val="center"/>
            </w:pPr>
            <w:r>
              <w:t>1.2749–70.2782</w:t>
            </w:r>
          </w:p>
        </w:tc>
        <w:tc>
          <w:tcPr>
            <w:tcW w:w="1400" w:type="dxa"/>
            <w:vAlign w:val="center"/>
          </w:tcPr>
          <w:p w14:paraId="4F9CE552" w14:textId="77777777" w:rsidR="00ED5FE7" w:rsidRDefault="00000000">
            <w:pPr>
              <w:pStyle w:val="Compact"/>
              <w:jc w:val="center"/>
            </w:pPr>
            <w:r>
              <w:t>0.0280</w:t>
            </w:r>
          </w:p>
        </w:tc>
      </w:tr>
    </w:tbl>
    <w:p w14:paraId="612F50DB" w14:textId="77777777" w:rsidR="00ED5FE7" w:rsidRDefault="00000000">
      <w:pPr>
        <w:pStyle w:val="Heading1"/>
      </w:pPr>
      <w:bookmarkStart w:id="24" w:name="interpretation-of-cox-regression"/>
      <w:bookmarkEnd w:id="23"/>
      <w:r>
        <w:t>17. Interpretation of Cox Regression</w:t>
      </w:r>
    </w:p>
    <w:p w14:paraId="6F3DD1CC" w14:textId="77777777" w:rsidR="00ED5FE7" w:rsidRDefault="00000000">
      <w:pPr>
        <w:pStyle w:val="Heading2"/>
      </w:pPr>
      <w:bookmarkStart w:id="25" w:name="age"/>
      <w:r>
        <w:t>17.1 Age</w:t>
      </w:r>
    </w:p>
    <w:p w14:paraId="31A6830F" w14:textId="77777777" w:rsidR="00ED5FE7" w:rsidRDefault="00000000">
      <w:pPr>
        <w:pStyle w:val="FirstParagraph"/>
      </w:pPr>
      <w:r>
        <w:t xml:space="preserve">The hazard ratio for age was HR = 1.0249 with </w:t>
      </w:r>
      <w:r>
        <w:rPr>
          <w:i/>
          <w:iCs/>
        </w:rPr>
        <w:t>p</w:t>
      </w:r>
      <w:r>
        <w:t> = 0.0111.</w:t>
      </w:r>
    </w:p>
    <w:p w14:paraId="5BFEAB57" w14:textId="77777777" w:rsidR="00ED5FE7" w:rsidRDefault="00000000">
      <w:pPr>
        <w:pStyle w:val="BodyText"/>
      </w:pPr>
      <w:r>
        <w:t>This means that, holding the other variables constant, a one-year increase in age was associated with approximately a 2.49% increase in the hazard of death.</w:t>
      </w:r>
    </w:p>
    <w:p w14:paraId="54002117" w14:textId="77777777" w:rsidR="00ED5FE7" w:rsidRDefault="00000000">
      <w:pPr>
        <w:pStyle w:val="BodyText"/>
      </w:pPr>
      <w:r>
        <w:t>The 95% confidence interval was 1.0056–1.0445 and did not include 1.</w:t>
      </w:r>
    </w:p>
    <w:p w14:paraId="24024C32" w14:textId="77777777" w:rsidR="00ED5FE7" w:rsidRDefault="00000000">
      <w:pPr>
        <w:pStyle w:val="BodyText"/>
      </w:pPr>
      <w:r>
        <w:t>Therefore, age showed a statistically significant positive association with the hazard of death.</w:t>
      </w:r>
    </w:p>
    <w:p w14:paraId="0731CFAB" w14:textId="77777777" w:rsidR="00ED5FE7" w:rsidRDefault="00000000">
      <w:pPr>
        <w:pStyle w:val="Heading2"/>
      </w:pPr>
      <w:bookmarkStart w:id="26" w:name="sex"/>
      <w:bookmarkEnd w:id="25"/>
      <w:r>
        <w:t>17.2 Sex</w:t>
      </w:r>
    </w:p>
    <w:p w14:paraId="1CF87AC3" w14:textId="77777777" w:rsidR="00ED5FE7" w:rsidRDefault="00000000">
      <w:pPr>
        <w:pStyle w:val="FirstParagraph"/>
      </w:pPr>
      <w:r>
        <w:t xml:space="preserve">The hazard ratio for females relative to males was HR = 0.5521. The </w:t>
      </w:r>
      <w:r>
        <w:rPr>
          <w:i/>
          <w:iCs/>
        </w:rPr>
        <w:t>p</w:t>
      </w:r>
      <w:r>
        <w:t>-value was 0.0198.</w:t>
      </w:r>
    </w:p>
    <w:p w14:paraId="038A41B1" w14:textId="77777777" w:rsidR="00ED5FE7" w:rsidRDefault="00000000">
      <w:pPr>
        <w:pStyle w:val="BodyText"/>
        <w:keepNext/>
      </w:pPr>
      <w:r>
        <w:lastRenderedPageBreak/>
        <w:t>Thus, after adjusting for the other variables, females had an estimated hazard approximately 44.8% lower than males:</w:t>
      </w:r>
    </w:p>
    <w:p w14:paraId="6A06D547" w14:textId="77777777" w:rsidR="00ED5FE7" w:rsidRDefault="00000000">
      <w:pPr>
        <w:pStyle w:val="EquationDisplay"/>
      </w:pPr>
      <m:oMathPara>
        <m:oMathParaPr>
          <m:jc m:val="center"/>
        </m:oMathParaP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0.5521</m:t>
              </m:r>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44.8</m:t>
          </m:r>
          <m:r>
            <m:rPr>
              <m:sty m:val="p"/>
            </m:rPr>
            <w:rPr>
              <w:rFonts w:ascii="Cambria Math" w:hAnsi="Cambria Math"/>
            </w:rPr>
            <m:t>%.</m:t>
          </m:r>
        </m:oMath>
      </m:oMathPara>
    </w:p>
    <w:p w14:paraId="2330E48E" w14:textId="77777777" w:rsidR="00ED5FE7" w:rsidRDefault="00000000">
      <w:pPr>
        <w:pStyle w:val="FirstParagraph"/>
      </w:pPr>
      <w:r>
        <w:t>The confidence interval was 0.3350–0.9101 and did not include 1.</w:t>
      </w:r>
    </w:p>
    <w:p w14:paraId="25BCD44F" w14:textId="77777777" w:rsidR="00ED5FE7" w:rsidRDefault="00000000">
      <w:pPr>
        <w:pStyle w:val="BodyText"/>
      </w:pPr>
      <w:r>
        <w:t>Therefore, sex remained statistically associated with survival after adjustment.</w:t>
      </w:r>
    </w:p>
    <w:p w14:paraId="5829A16E" w14:textId="77777777" w:rsidR="00ED5FE7" w:rsidRDefault="00000000">
      <w:pPr>
        <w:pStyle w:val="BodyText"/>
      </w:pPr>
      <w:r>
        <w:t>This should be interpreted as an association, not a causal effect.</w:t>
      </w:r>
    </w:p>
    <w:p w14:paraId="5022E4C8" w14:textId="77777777" w:rsidR="00ED5FE7" w:rsidRDefault="00000000">
      <w:pPr>
        <w:pStyle w:val="Heading1"/>
      </w:pPr>
      <w:bookmarkStart w:id="27" w:name="treatment"/>
      <w:bookmarkEnd w:id="24"/>
      <w:bookmarkEnd w:id="26"/>
      <w:r>
        <w:t>18. Treatment</w:t>
      </w:r>
    </w:p>
    <w:p w14:paraId="65AFB51B" w14:textId="77777777" w:rsidR="00ED5FE7" w:rsidRDefault="00000000">
      <w:pPr>
        <w:pStyle w:val="FirstParagraph"/>
      </w:pPr>
      <w:r>
        <w:t xml:space="preserve">The hazard ratio for Treatment 2 relative to Treatment 1 was HR = 0.9746. The </w:t>
      </w:r>
      <w:r>
        <w:rPr>
          <w:i/>
          <w:iCs/>
        </w:rPr>
        <w:t>p</w:t>
      </w:r>
      <w:r>
        <w:t>-value was 0.8899.</w:t>
      </w:r>
    </w:p>
    <w:p w14:paraId="20C3AE98" w14:textId="77777777" w:rsidR="00ED5FE7" w:rsidRDefault="00000000">
      <w:pPr>
        <w:pStyle w:val="BodyText"/>
      </w:pPr>
      <w:r>
        <w:t>The confidence interval was 0.6775–1.4021.</w:t>
      </w:r>
    </w:p>
    <w:p w14:paraId="0E0DB245" w14:textId="77777777" w:rsidR="00ED5FE7" w:rsidRDefault="00000000">
      <w:pPr>
        <w:pStyle w:val="BodyText"/>
      </w:pPr>
      <w:r>
        <w:t xml:space="preserve">Because the confidence interval includes 1 and the </w:t>
      </w:r>
      <w:r>
        <w:rPr>
          <w:i/>
          <w:iCs/>
        </w:rPr>
        <w:t>p</w:t>
      </w:r>
      <w:r>
        <w:t>-value is substantially greater than 0.05, there is insufficient statistical evidence of an association between treatment group and hazard of death in this multivariable model.</w:t>
      </w:r>
    </w:p>
    <w:p w14:paraId="3E7CCB9F" w14:textId="77777777" w:rsidR="00ED5FE7" w:rsidRDefault="00000000">
      <w:pPr>
        <w:pStyle w:val="BodyText"/>
      </w:pPr>
      <w:r>
        <w:t>This agrees with the earlier log-rank analysis, which also found no significant difference between treatment groups.</w:t>
      </w:r>
    </w:p>
    <w:p w14:paraId="549C6256" w14:textId="77777777" w:rsidR="00ED5FE7" w:rsidRDefault="00000000">
      <w:pPr>
        <w:pStyle w:val="Heading1"/>
      </w:pPr>
      <w:bookmarkStart w:id="28" w:name="bilirubin"/>
      <w:bookmarkEnd w:id="27"/>
      <w:r>
        <w:t>19. Bilirubin</w:t>
      </w:r>
    </w:p>
    <w:p w14:paraId="0E755357" w14:textId="77777777" w:rsidR="00ED5FE7" w:rsidRDefault="00000000">
      <w:pPr>
        <w:pStyle w:val="FirstParagraph"/>
      </w:pPr>
      <w:r>
        <w:t xml:space="preserve">Bilirubin had a hazard ratio of HR = 1.1347 with </w:t>
      </w:r>
      <w:r>
        <w:rPr>
          <w:i/>
          <w:iCs/>
        </w:rPr>
        <w:t>p</w:t>
      </w:r>
      <w:r>
        <w:t> &lt; 0.001.</w:t>
      </w:r>
    </w:p>
    <w:p w14:paraId="460AD8C4" w14:textId="77777777" w:rsidR="00ED5FE7" w:rsidRDefault="00000000">
      <w:pPr>
        <w:pStyle w:val="BodyText"/>
      </w:pPr>
      <w:r>
        <w:t>Thus, a one-unit increase in bilirubin was associated with approximately a 13.47% increase in the hazard of death, conditional on the other variables in the model.</w:t>
      </w:r>
    </w:p>
    <w:p w14:paraId="292ABED5" w14:textId="77777777" w:rsidR="00ED5FE7" w:rsidRDefault="00000000">
      <w:pPr>
        <w:pStyle w:val="BodyText"/>
      </w:pPr>
      <w:r>
        <w:t>The 95% confidence interval was 1.1012–1.1692, which lies entirely above 1.</w:t>
      </w:r>
    </w:p>
    <w:p w14:paraId="67E7ACDF" w14:textId="77777777" w:rsidR="00ED5FE7" w:rsidRDefault="00000000">
      <w:pPr>
        <w:pStyle w:val="BodyText"/>
      </w:pPr>
      <w:r>
        <w:t>Therefore, bilirubin showed a strong positive association with the hazard of death.</w:t>
      </w:r>
    </w:p>
    <w:p w14:paraId="1E151838" w14:textId="2A4ECC99" w:rsidR="00F45229" w:rsidRDefault="00000000" w:rsidP="00F45229">
      <w:pPr>
        <w:pStyle w:val="BodyText"/>
      </w:pPr>
      <w:r>
        <w:t xml:space="preserve">However, an important issue emerges later: the proportional-hazards test indicates that bilirubin does </w:t>
      </w:r>
      <w:r>
        <w:rPr>
          <w:i/>
          <w:iCs/>
        </w:rPr>
        <w:t>not</w:t>
      </w:r>
      <w:r>
        <w:t xml:space="preserve"> satisfy the proportional-hazards assumption. Therefore, this single hazard ratio should be interpreted cautiously as an overall model-based association rather than necessarily a constant hazard ratio throughout follow-up.</w:t>
      </w:r>
      <w:bookmarkStart w:id="29" w:name="albumin"/>
      <w:bookmarkEnd w:id="28"/>
    </w:p>
    <w:p w14:paraId="5EFDF975" w14:textId="77777777" w:rsidR="00F45229" w:rsidRDefault="00F45229" w:rsidP="00F45229">
      <w:pPr>
        <w:pStyle w:val="BodyText"/>
      </w:pPr>
    </w:p>
    <w:p w14:paraId="56854A46" w14:textId="77777777" w:rsidR="00F45229" w:rsidRDefault="00F45229" w:rsidP="00F45229">
      <w:pPr>
        <w:pStyle w:val="BodyText"/>
      </w:pPr>
    </w:p>
    <w:p w14:paraId="4D3DEE20" w14:textId="07ECAF7E" w:rsidR="00ED5FE7" w:rsidRDefault="00000000">
      <w:pPr>
        <w:pStyle w:val="Heading1"/>
      </w:pPr>
      <w:r>
        <w:lastRenderedPageBreak/>
        <w:t>20. Albumin</w:t>
      </w:r>
    </w:p>
    <w:p w14:paraId="5BE51192" w14:textId="77777777" w:rsidR="00ED5FE7" w:rsidRDefault="00000000">
      <w:pPr>
        <w:pStyle w:val="FirstParagraph"/>
      </w:pPr>
      <w:r>
        <w:t xml:space="preserve">Albumin had HR = 0.3950 with </w:t>
      </w:r>
      <w:r>
        <w:rPr>
          <w:i/>
          <w:iCs/>
        </w:rPr>
        <w:t>p</w:t>
      </w:r>
      <w:r>
        <w:t> &lt; 0.001.</w:t>
      </w:r>
    </w:p>
    <w:p w14:paraId="7DE006F8" w14:textId="77777777" w:rsidR="00ED5FE7" w:rsidRDefault="00000000">
      <w:pPr>
        <w:pStyle w:val="BodyText"/>
        <w:keepNext/>
      </w:pPr>
      <w:r>
        <w:t>This indicates that a one-unit increase in albumin was associated with an estimated 60.5% reduction in hazard:</w:t>
      </w:r>
    </w:p>
    <w:p w14:paraId="16785EBE" w14:textId="77777777" w:rsidR="00ED5FE7" w:rsidRDefault="00000000">
      <w:pPr>
        <w:pStyle w:val="EquationDisplay"/>
      </w:pPr>
      <m:oMathPara>
        <m:oMathParaPr>
          <m:jc m:val="center"/>
        </m:oMathParaP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0.3950</m:t>
              </m:r>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60.5</m:t>
          </m:r>
          <m:r>
            <m:rPr>
              <m:sty m:val="p"/>
            </m:rPr>
            <w:rPr>
              <w:rFonts w:ascii="Cambria Math" w:hAnsi="Cambria Math"/>
            </w:rPr>
            <m:t>%.</m:t>
          </m:r>
        </m:oMath>
      </m:oMathPara>
    </w:p>
    <w:p w14:paraId="22D7623C" w14:textId="77777777" w:rsidR="00ED5FE7" w:rsidRDefault="00000000">
      <w:pPr>
        <w:pStyle w:val="FirstParagraph"/>
      </w:pPr>
      <w:r>
        <w:t>The confidence interval was 0.2394–0.6519 and did not include 1.</w:t>
      </w:r>
    </w:p>
    <w:p w14:paraId="3BE06F04" w14:textId="77777777" w:rsidR="00ED5FE7" w:rsidRDefault="00000000">
      <w:pPr>
        <w:pStyle w:val="BodyText"/>
      </w:pPr>
      <w:r>
        <w:t>Thus, albumin demonstrated a strong negative association with the hazard of death after adjustment for the other covariates.</w:t>
      </w:r>
    </w:p>
    <w:p w14:paraId="2C0FB06A" w14:textId="77777777" w:rsidR="00ED5FE7" w:rsidRDefault="00000000">
      <w:pPr>
        <w:pStyle w:val="Heading1"/>
      </w:pPr>
      <w:bookmarkStart w:id="30" w:name="edema"/>
      <w:bookmarkEnd w:id="29"/>
      <w:r>
        <w:t>21. Edema</w:t>
      </w:r>
    </w:p>
    <w:p w14:paraId="70EFA2AE" w14:textId="77777777" w:rsidR="00ED5FE7" w:rsidRDefault="00000000">
      <w:pPr>
        <w:pStyle w:val="FirstParagraph"/>
      </w:pPr>
      <w:r>
        <w:t xml:space="preserve">The estimated hazard ratio for edema was HR = 2.6486 with </w:t>
      </w:r>
      <w:r>
        <w:rPr>
          <w:i/>
          <w:iCs/>
        </w:rPr>
        <w:t>p</w:t>
      </w:r>
      <w:r>
        <w:t> = 0.0020.</w:t>
      </w:r>
    </w:p>
    <w:p w14:paraId="3440D4B0" w14:textId="77777777" w:rsidR="00ED5FE7" w:rsidRDefault="00000000">
      <w:pPr>
        <w:pStyle w:val="BodyText"/>
      </w:pPr>
      <w:r>
        <w:t>Therefore, the presence of edema was associated with approximately</w:t>
      </w:r>
    </w:p>
    <w:p w14:paraId="362C37EF" w14:textId="77777777" w:rsidR="00ED5FE7" w:rsidRDefault="00000000">
      <w:pPr>
        <w:pStyle w:val="EquationDisplay"/>
      </w:pPr>
      <m:oMathPara>
        <m:oMathParaPr>
          <m:jc m:val="center"/>
        </m:oMathParaPr>
        <m:oMath>
          <m:d>
            <m:dPr>
              <m:ctrlPr>
                <w:rPr>
                  <w:rFonts w:ascii="Cambria Math" w:hAnsi="Cambria Math"/>
                </w:rPr>
              </m:ctrlPr>
            </m:dPr>
            <m:e>
              <m:r>
                <w:rPr>
                  <w:rFonts w:ascii="Cambria Math" w:hAnsi="Cambria Math"/>
                </w:rPr>
                <m:t>2.6486</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164.9</m:t>
          </m:r>
          <m:r>
            <m:rPr>
              <m:sty m:val="p"/>
            </m:rPr>
            <w:rPr>
              <w:rFonts w:ascii="Cambria Math" w:hAnsi="Cambria Math"/>
            </w:rPr>
            <m:t>%</m:t>
          </m:r>
        </m:oMath>
      </m:oMathPara>
    </w:p>
    <w:p w14:paraId="596A970D" w14:textId="77777777" w:rsidR="00ED5FE7" w:rsidRDefault="00000000">
      <w:pPr>
        <w:pStyle w:val="FirstParagraph"/>
      </w:pPr>
      <w:r>
        <w:t>higher hazard of death relative to the reference condition, holding the other variables constant.</w:t>
      </w:r>
    </w:p>
    <w:p w14:paraId="6931B5A5" w14:textId="77777777" w:rsidR="00ED5FE7" w:rsidRDefault="00000000">
      <w:pPr>
        <w:pStyle w:val="BodyText"/>
      </w:pPr>
      <w:r>
        <w:t>The 95% confidence interval was 1.4292–4.9083, which excludes 1.</w:t>
      </w:r>
    </w:p>
    <w:p w14:paraId="331278AC" w14:textId="77777777" w:rsidR="00ED5FE7" w:rsidRDefault="00000000">
      <w:pPr>
        <w:pStyle w:val="BodyText"/>
      </w:pPr>
      <w:r>
        <w:t>Hence, edema showed a statistically significant positive association with the hazard of death.</w:t>
      </w:r>
    </w:p>
    <w:p w14:paraId="66AC3061" w14:textId="77777777" w:rsidR="00ED5FE7" w:rsidRDefault="00000000">
      <w:pPr>
        <w:pStyle w:val="Heading1"/>
      </w:pPr>
      <w:bookmarkStart w:id="31" w:name="disease-stage"/>
      <w:bookmarkEnd w:id="30"/>
      <w:r>
        <w:t>22. Disease Stage</w:t>
      </w:r>
    </w:p>
    <w:p w14:paraId="76C8E788" w14:textId="77777777" w:rsidR="00ED5FE7" w:rsidRDefault="00000000">
      <w:pPr>
        <w:pStyle w:val="FirstParagraph"/>
      </w:pPr>
      <w:r>
        <w:t>Stage 1 was used as the reference category.</w:t>
      </w:r>
    </w:p>
    <w:p w14:paraId="146734A2" w14:textId="77777777" w:rsidR="00ED5FE7" w:rsidRDefault="00000000">
      <w:pPr>
        <w:pStyle w:val="Heading3"/>
      </w:pPr>
      <w:bookmarkStart w:id="32" w:name="stage-2"/>
      <w:r>
        <w:t>Stage 2</w:t>
      </w:r>
    </w:p>
    <w:p w14:paraId="565AF7CD" w14:textId="77777777" w:rsidR="00ED5FE7" w:rsidRDefault="00000000">
      <w:pPr>
        <w:pStyle w:val="FirstParagraph"/>
      </w:pPr>
      <w:r>
        <w:t xml:space="preserve">HR = 4.0164 with </w:t>
      </w:r>
      <w:r>
        <w:rPr>
          <w:i/>
          <w:iCs/>
        </w:rPr>
        <w:t>p</w:t>
      </w:r>
      <w:r>
        <w:t> = 0.1803.</w:t>
      </w:r>
    </w:p>
    <w:p w14:paraId="7AE16237" w14:textId="77777777" w:rsidR="00ED5FE7" w:rsidRDefault="00000000">
      <w:pPr>
        <w:pStyle w:val="BodyText"/>
      </w:pPr>
      <w:r>
        <w:t>Although the point estimate suggests a higher hazard relative to Stage 1, the confidence interval is very wide (0.5255–30.6970).</w:t>
      </w:r>
    </w:p>
    <w:p w14:paraId="3381C3A7" w14:textId="77777777" w:rsidR="00ED5FE7" w:rsidRDefault="00000000">
      <w:pPr>
        <w:pStyle w:val="BodyText"/>
      </w:pPr>
      <w:r>
        <w:t>Since the interval contains 1, the association is not statistically significant at the 5% level.</w:t>
      </w:r>
    </w:p>
    <w:p w14:paraId="143BB842" w14:textId="77777777" w:rsidR="00ED5FE7" w:rsidRDefault="00000000">
      <w:pPr>
        <w:pStyle w:val="Heading3"/>
      </w:pPr>
      <w:bookmarkStart w:id="33" w:name="stage-3"/>
      <w:bookmarkEnd w:id="32"/>
      <w:r>
        <w:t>Stage 3</w:t>
      </w:r>
    </w:p>
    <w:p w14:paraId="5218869B" w14:textId="77777777" w:rsidR="00ED5FE7" w:rsidRDefault="00000000">
      <w:pPr>
        <w:pStyle w:val="FirstParagraph"/>
      </w:pPr>
      <w:r>
        <w:t xml:space="preserve">HR = 5.8084 with </w:t>
      </w:r>
      <w:r>
        <w:rPr>
          <w:i/>
          <w:iCs/>
        </w:rPr>
        <w:t>p</w:t>
      </w:r>
      <w:r>
        <w:t> = 0.0844.</w:t>
      </w:r>
    </w:p>
    <w:p w14:paraId="11F0BEDB" w14:textId="77777777" w:rsidR="00ED5FE7" w:rsidRDefault="00000000">
      <w:pPr>
        <w:pStyle w:val="BodyText"/>
      </w:pPr>
      <w:r>
        <w:t>The point estimate suggests substantially higher hazard relative to Stage 1, but the 95% confidence interval includes 1 (0.7876–42.8362).</w:t>
      </w:r>
    </w:p>
    <w:p w14:paraId="5BD6832A" w14:textId="77777777" w:rsidR="00ED5FE7" w:rsidRDefault="00000000">
      <w:pPr>
        <w:pStyle w:val="BodyText"/>
      </w:pPr>
      <w:r>
        <w:lastRenderedPageBreak/>
        <w:t>Therefore, the evidence is insufficient to establish a statistically significant difference at the 5% level.</w:t>
      </w:r>
    </w:p>
    <w:p w14:paraId="4F72D785" w14:textId="77777777" w:rsidR="00ED5FE7" w:rsidRDefault="00000000">
      <w:pPr>
        <w:pStyle w:val="Heading3"/>
      </w:pPr>
      <w:bookmarkStart w:id="34" w:name="stage-4"/>
      <w:bookmarkEnd w:id="33"/>
      <w:r>
        <w:t>Stage 4</w:t>
      </w:r>
    </w:p>
    <w:p w14:paraId="03C2ED6D" w14:textId="77777777" w:rsidR="00ED5FE7" w:rsidRDefault="00000000">
      <w:pPr>
        <w:pStyle w:val="FirstParagraph"/>
      </w:pPr>
      <w:r>
        <w:t xml:space="preserve">Stage 4 had HR = 9.4656 with </w:t>
      </w:r>
      <w:r>
        <w:rPr>
          <w:i/>
          <w:iCs/>
        </w:rPr>
        <w:t>p</w:t>
      </w:r>
      <w:r>
        <w:t> = 0.0280.</w:t>
      </w:r>
    </w:p>
    <w:p w14:paraId="681B157C" w14:textId="77777777" w:rsidR="00ED5FE7" w:rsidRDefault="00000000">
      <w:pPr>
        <w:pStyle w:val="BodyText"/>
      </w:pPr>
      <w:r>
        <w:t>The 95% confidence interval was 1.2749–70.2782.</w:t>
      </w:r>
    </w:p>
    <w:p w14:paraId="72141A4C" w14:textId="77777777" w:rsidR="00ED5FE7" w:rsidRDefault="00000000">
      <w:pPr>
        <w:pStyle w:val="BodyText"/>
      </w:pPr>
      <w:r>
        <w:t>Therefore, Stage 4 had an estimated hazard approximately 9.47 times that of Stage 1, after adjustment for the other variables.</w:t>
      </w:r>
    </w:p>
    <w:p w14:paraId="0841D72A" w14:textId="77777777" w:rsidR="00ED5FE7" w:rsidRDefault="00000000">
      <w:pPr>
        <w:pStyle w:val="BodyText"/>
      </w:pPr>
      <w:r>
        <w:t>The confidence interval excludes 1, indicating a statistically significant association at the 5% level.</w:t>
      </w:r>
    </w:p>
    <w:p w14:paraId="60E81BFB" w14:textId="77777777" w:rsidR="00ED5FE7" w:rsidRDefault="00000000">
      <w:pPr>
        <w:pStyle w:val="BodyText"/>
      </w:pPr>
      <w:r>
        <w:t>The very wide confidence interval reflects considerable uncertainty in the estimate, particularly because the Stage 1 group contained only 16 patients.</w:t>
      </w:r>
    </w:p>
    <w:p w14:paraId="43864F17" w14:textId="77777777" w:rsidR="00ED5FE7" w:rsidRDefault="00000000">
      <w:pPr>
        <w:pStyle w:val="Heading1"/>
      </w:pPr>
      <w:bookmarkStart w:id="35" w:name="cox-model-performance"/>
      <w:bookmarkEnd w:id="31"/>
      <w:bookmarkEnd w:id="34"/>
      <w:r>
        <w:t>23. Cox Model Performance</w:t>
      </w:r>
    </w:p>
    <w:p w14:paraId="1294F635" w14:textId="77777777" w:rsidR="00ED5FE7" w:rsidRDefault="00000000">
      <w:pPr>
        <w:pStyle w:val="FirstParagraph"/>
      </w:pPr>
      <w:r>
        <w:t xml:space="preserve">The Cox model produced a concordance statistic of </w:t>
      </w:r>
      <w:r>
        <w:rPr>
          <w:i/>
          <w:iCs/>
        </w:rPr>
        <w:t>C</w:t>
      </w:r>
      <w:r>
        <w:t> = 0.839.</w:t>
      </w:r>
    </w:p>
    <w:p w14:paraId="77B6025A" w14:textId="77777777" w:rsidR="00ED5FE7" w:rsidRDefault="00000000">
      <w:pPr>
        <w:pStyle w:val="BodyText"/>
      </w:pPr>
      <w:r>
        <w:t>The concordance statistic measures the model’s ability to correctly discriminate between patients with different survival experiences.</w:t>
      </w:r>
    </w:p>
    <w:p w14:paraId="1C853241" w14:textId="77777777" w:rsidR="00ED5FE7" w:rsidRDefault="00000000">
      <w:pPr>
        <w:pStyle w:val="BodyText"/>
      </w:pPr>
      <w:r>
        <w:t>A value of 0.5 corresponds approximately to random discrimination, while larger values indicate better concordance.</w:t>
      </w:r>
    </w:p>
    <w:p w14:paraId="3CE5AF52" w14:textId="77777777" w:rsidR="00ED5FE7" w:rsidRDefault="00000000">
      <w:pPr>
        <w:pStyle w:val="BodyText"/>
      </w:pPr>
      <w:r>
        <w:t>The value of 0.839 indicates strong discriminative ability within this dataset.</w:t>
      </w:r>
    </w:p>
    <w:p w14:paraId="5283B01C" w14:textId="77777777" w:rsidR="00ED5FE7" w:rsidRDefault="00000000">
      <w:pPr>
        <w:pStyle w:val="BodyText"/>
      </w:pPr>
      <w:r>
        <w:t xml:space="preserve">The likelihood-ratio, Wald and score tests were all highly significant, </w:t>
      </w:r>
      <w:r>
        <w:rPr>
          <w:i/>
          <w:iCs/>
        </w:rPr>
        <w:t>p</w:t>
      </w:r>
      <w:r>
        <w:t> &lt; 2 × 10</w:t>
      </w:r>
      <w:r>
        <w:rPr>
          <w:vertAlign w:val="superscript"/>
        </w:rPr>
        <w:t>−16</w:t>
      </w:r>
      <w:r>
        <w:t>.</w:t>
      </w:r>
    </w:p>
    <w:p w14:paraId="2107FB6A" w14:textId="77777777" w:rsidR="00ED5FE7" w:rsidRDefault="00000000">
      <w:pPr>
        <w:pStyle w:val="BodyText"/>
      </w:pPr>
      <w:r>
        <w:t>This indicates that the set of covariates, considered jointly, provides substantial information about the observed survival outcomes.</w:t>
      </w:r>
    </w:p>
    <w:p w14:paraId="4A44D1CC" w14:textId="77777777" w:rsidR="00ED5FE7" w:rsidRDefault="00000000">
      <w:pPr>
        <w:pStyle w:val="Heading1"/>
      </w:pPr>
      <w:bookmarkStart w:id="36" w:name="hazard-ratio-plot"/>
      <w:bookmarkEnd w:id="35"/>
      <w:r>
        <w:lastRenderedPageBreak/>
        <w:t>24. Hazard Ratio Plot</w:t>
      </w:r>
    </w:p>
    <w:p w14:paraId="4D31531A" w14:textId="46DDB15E" w:rsidR="00ED5FE7" w:rsidRDefault="009B2675">
      <w:pPr>
        <w:pStyle w:val="CaptionedFigure"/>
      </w:pPr>
      <w:r>
        <w:rPr>
          <w:noProof/>
        </w:rPr>
        <w:drawing>
          <wp:inline distT="0" distB="0" distL="0" distR="0" wp14:anchorId="79809B5D" wp14:editId="40400309">
            <wp:extent cx="3968815" cy="2046944"/>
            <wp:effectExtent l="0" t="0" r="0" b="0"/>
            <wp:docPr id="84856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2362" cy="2064246"/>
                    </a:xfrm>
                    <a:prstGeom prst="rect">
                      <a:avLst/>
                    </a:prstGeom>
                    <a:noFill/>
                  </pic:spPr>
                </pic:pic>
              </a:graphicData>
            </a:graphic>
          </wp:inline>
        </w:drawing>
      </w:r>
    </w:p>
    <w:p w14:paraId="784DFE09" w14:textId="77777777" w:rsidR="00ED5FE7" w:rsidRDefault="00000000">
      <w:pPr>
        <w:pStyle w:val="ImageCaption"/>
      </w:pPr>
      <w:r>
        <w:rPr>
          <w:b/>
          <w:bCs/>
        </w:rPr>
        <w:t>Figure 5.</w:t>
      </w:r>
      <w:r>
        <w:t xml:space="preserve"> Cox proportional hazards model: estimated hazard ratios with 95% confidence intervals.</w:t>
      </w:r>
    </w:p>
    <w:p w14:paraId="63178731" w14:textId="77777777" w:rsidR="00ED5FE7" w:rsidRDefault="00000000">
      <w:pPr>
        <w:pStyle w:val="BodyText"/>
      </w:pPr>
      <w:r>
        <w:t>The vertical reference line at HR = 1 represents no association.</w:t>
      </w:r>
    </w:p>
    <w:p w14:paraId="18AA609C" w14:textId="77777777" w:rsidR="00ED5FE7" w:rsidRDefault="00000000">
      <w:pPr>
        <w:pStyle w:val="BodyText"/>
      </w:pPr>
      <w:r>
        <w:t>Variables whose confidence intervals lie entirely above 1 are associated with higher hazard, while those entirely below 1 are associated with lower hazard.</w:t>
      </w:r>
    </w:p>
    <w:p w14:paraId="5B48F32C" w14:textId="77777777" w:rsidR="00ED5FE7" w:rsidRDefault="00000000">
      <w:pPr>
        <w:pStyle w:val="BodyText"/>
        <w:keepNext/>
      </w:pPr>
      <w:r>
        <w:t>From the estimated confidence intervals:</w:t>
      </w:r>
    </w:p>
    <w:p w14:paraId="18A5C929" w14:textId="77777777" w:rsidR="00ED5FE7" w:rsidRDefault="00000000">
      <w:pPr>
        <w:numPr>
          <w:ilvl w:val="0"/>
          <w:numId w:val="13"/>
        </w:numPr>
        <w:spacing w:after="60" w:line="360" w:lineRule="auto"/>
      </w:pPr>
      <w:r>
        <w:t>Age → above 1</w:t>
      </w:r>
    </w:p>
    <w:p w14:paraId="2B22EC22" w14:textId="77777777" w:rsidR="00ED5FE7" w:rsidRDefault="00000000">
      <w:pPr>
        <w:numPr>
          <w:ilvl w:val="0"/>
          <w:numId w:val="13"/>
        </w:numPr>
        <w:spacing w:after="60" w:line="360" w:lineRule="auto"/>
      </w:pPr>
      <w:r>
        <w:t>Bilirubin → above 1</w:t>
      </w:r>
    </w:p>
    <w:p w14:paraId="75C99DB4" w14:textId="77777777" w:rsidR="00ED5FE7" w:rsidRDefault="00000000">
      <w:pPr>
        <w:numPr>
          <w:ilvl w:val="0"/>
          <w:numId w:val="13"/>
        </w:numPr>
        <w:spacing w:after="60" w:line="360" w:lineRule="auto"/>
      </w:pPr>
      <w:r>
        <w:t>Edema → above 1</w:t>
      </w:r>
    </w:p>
    <w:p w14:paraId="52B3FBEC" w14:textId="77777777" w:rsidR="00ED5FE7" w:rsidRDefault="00000000">
      <w:pPr>
        <w:numPr>
          <w:ilvl w:val="0"/>
          <w:numId w:val="13"/>
        </w:numPr>
        <w:spacing w:after="60" w:line="360" w:lineRule="auto"/>
      </w:pPr>
      <w:r>
        <w:t>Stage 4 → above 1</w:t>
      </w:r>
    </w:p>
    <w:p w14:paraId="5DD47E8D" w14:textId="77777777" w:rsidR="00ED5FE7" w:rsidRDefault="00000000">
      <w:pPr>
        <w:numPr>
          <w:ilvl w:val="0"/>
          <w:numId w:val="13"/>
        </w:numPr>
        <w:spacing w:after="60" w:line="360" w:lineRule="auto"/>
      </w:pPr>
      <w:r>
        <w:t>Female sex → below 1</w:t>
      </w:r>
    </w:p>
    <w:p w14:paraId="3C07BDB1" w14:textId="77777777" w:rsidR="00ED5FE7" w:rsidRDefault="00000000">
      <w:pPr>
        <w:numPr>
          <w:ilvl w:val="0"/>
          <w:numId w:val="13"/>
        </w:numPr>
        <w:spacing w:after="60" w:line="360" w:lineRule="auto"/>
      </w:pPr>
      <w:r>
        <w:t>Albumin → below 1</w:t>
      </w:r>
    </w:p>
    <w:p w14:paraId="1004FA4F" w14:textId="77777777" w:rsidR="00ED5FE7" w:rsidRDefault="00000000">
      <w:pPr>
        <w:numPr>
          <w:ilvl w:val="0"/>
          <w:numId w:val="13"/>
        </w:numPr>
        <w:spacing w:after="60" w:line="360" w:lineRule="auto"/>
      </w:pPr>
      <w:r>
        <w:t>Treatment → crosses 1</w:t>
      </w:r>
    </w:p>
    <w:p w14:paraId="2A03555C" w14:textId="77777777" w:rsidR="00ED5FE7" w:rsidRDefault="00000000">
      <w:pPr>
        <w:numPr>
          <w:ilvl w:val="0"/>
          <w:numId w:val="13"/>
        </w:numPr>
        <w:spacing w:after="60" w:line="360" w:lineRule="auto"/>
      </w:pPr>
      <w:r>
        <w:t>Stage 2 → crosses 1</w:t>
      </w:r>
    </w:p>
    <w:p w14:paraId="5CEE67C9" w14:textId="77777777" w:rsidR="00ED5FE7" w:rsidRDefault="00000000">
      <w:pPr>
        <w:numPr>
          <w:ilvl w:val="0"/>
          <w:numId w:val="13"/>
        </w:numPr>
        <w:spacing w:after="60" w:line="360" w:lineRule="auto"/>
      </w:pPr>
      <w:r>
        <w:t>Stage 3 → crosses 1.</w:t>
      </w:r>
    </w:p>
    <w:p w14:paraId="41108128" w14:textId="77777777" w:rsidR="00ED5FE7" w:rsidRDefault="00000000">
      <w:pPr>
        <w:pStyle w:val="Heading1"/>
      </w:pPr>
      <w:bookmarkStart w:id="37" w:name="proportional-hazards-assumption"/>
      <w:bookmarkEnd w:id="36"/>
      <w:r>
        <w:t>25. Proportional Hazards Assumption</w:t>
      </w:r>
    </w:p>
    <w:p w14:paraId="3137AE07" w14:textId="77777777" w:rsidR="00ED5FE7" w:rsidRDefault="00000000">
      <w:pPr>
        <w:pStyle w:val="FirstParagraph"/>
      </w:pPr>
      <w:r>
        <w:t>The Cox model assumes proportional hazards.</w:t>
      </w:r>
    </w:p>
    <w:p w14:paraId="401C1BDC" w14:textId="77777777" w:rsidR="00ED5FE7" w:rsidRDefault="00000000">
      <w:pPr>
        <w:pStyle w:val="BodyText"/>
      </w:pPr>
      <w:r>
        <w:t>This means that the hazard ratio between two individuals or groups is assumed to remain approximately constant over time.</w:t>
      </w:r>
    </w:p>
    <w:p w14:paraId="11658E2F" w14:textId="77777777" w:rsidR="00ED5FE7" w:rsidRDefault="00000000">
      <w:pPr>
        <w:pStyle w:val="BodyText"/>
      </w:pPr>
      <w:r>
        <w:t xml:space="preserve">The assumption was examined using Schoenfeld residuals through the </w:t>
      </w:r>
      <w:r>
        <w:rPr>
          <w:rStyle w:val="VerbatimChar"/>
        </w:rPr>
        <w:t>cox.zph()</w:t>
      </w:r>
      <w:r>
        <w:t xml:space="preserve"> procedure.</w:t>
      </w:r>
    </w:p>
    <w:p w14:paraId="000C4A97" w14:textId="77777777" w:rsidR="00ED5FE7" w:rsidRDefault="00000000">
      <w:pPr>
        <w:pStyle w:val="BodyText"/>
        <w:keepNext/>
      </w:pPr>
      <w:r>
        <w:lastRenderedPageBreak/>
        <w:t>The results were:</w:t>
      </w:r>
    </w:p>
    <w:p w14:paraId="72962818" w14:textId="77777777" w:rsidR="00ED5FE7" w:rsidRDefault="00000000">
      <w:pPr>
        <w:pStyle w:val="TableCaption"/>
      </w:pPr>
      <w:r>
        <w:rPr>
          <w:b/>
          <w:bCs/>
        </w:rPr>
        <w:t>Table 4.</w:t>
      </w:r>
      <w:r>
        <w:t xml:space="preserve"> Tests of the proportional-hazards assumption based on Schoenfeld residuals.</w:t>
      </w:r>
    </w:p>
    <w:tbl>
      <w:tblPr>
        <w:tblStyle w:val="Table"/>
        <w:tblW w:w="4600" w:type="dxa"/>
        <w:jc w:val="center"/>
        <w:tblBorders>
          <w:top w:val="single" w:sz="12" w:space="0" w:color="000000"/>
          <w:left w:val="nil"/>
          <w:bottom w:val="single" w:sz="12" w:space="0" w:color="000000"/>
          <w:right w:val="nil"/>
          <w:insideH w:val="nil"/>
          <w:insideV w:val="nil"/>
        </w:tblBorders>
        <w:tblLayout w:type="fixed"/>
        <w:tblCellMar>
          <w:top w:w="30" w:type="dxa"/>
          <w:left w:w="100" w:type="dxa"/>
          <w:bottom w:w="30" w:type="dxa"/>
          <w:right w:w="100" w:type="dxa"/>
        </w:tblCellMar>
        <w:tblLook w:val="0000" w:firstRow="0" w:lastRow="0" w:firstColumn="0" w:lastColumn="0" w:noHBand="0" w:noVBand="0"/>
      </w:tblPr>
      <w:tblGrid>
        <w:gridCol w:w="2600"/>
        <w:gridCol w:w="2000"/>
      </w:tblGrid>
      <w:tr w:rsidR="00ED5FE7" w14:paraId="410B14F0" w14:textId="77777777" w:rsidTr="00ED5FE7">
        <w:trPr>
          <w:cantSplit/>
          <w:tblHeader/>
          <w:jc w:val="center"/>
        </w:trPr>
        <w:tc>
          <w:tcPr>
            <w:tcW w:w="2600" w:type="dxa"/>
            <w:tcBorders>
              <w:bottom w:val="single" w:sz="6" w:space="0" w:color="000000"/>
            </w:tcBorders>
            <w:vAlign w:val="center"/>
          </w:tcPr>
          <w:p w14:paraId="058D0521" w14:textId="77777777" w:rsidR="00ED5FE7" w:rsidRDefault="00000000">
            <w:pPr>
              <w:pStyle w:val="Compact"/>
              <w:keepNext/>
            </w:pPr>
            <w:r>
              <w:rPr>
                <w:b/>
              </w:rPr>
              <w:t>Variable</w:t>
            </w:r>
          </w:p>
        </w:tc>
        <w:tc>
          <w:tcPr>
            <w:tcW w:w="2000" w:type="dxa"/>
            <w:tcBorders>
              <w:bottom w:val="single" w:sz="6" w:space="0" w:color="000000"/>
            </w:tcBorders>
            <w:vAlign w:val="center"/>
          </w:tcPr>
          <w:p w14:paraId="0E0A6D2D" w14:textId="77777777" w:rsidR="00ED5FE7" w:rsidRDefault="00000000">
            <w:pPr>
              <w:pStyle w:val="Compact"/>
              <w:keepNext/>
              <w:jc w:val="center"/>
            </w:pPr>
            <w:r>
              <w:rPr>
                <w:b/>
                <w:i/>
                <w:iCs/>
              </w:rPr>
              <w:t>p</w:t>
            </w:r>
            <w:r>
              <w:rPr>
                <w:b/>
              </w:rPr>
              <w:t>-value</w:t>
            </w:r>
          </w:p>
        </w:tc>
      </w:tr>
      <w:tr w:rsidR="00ED5FE7" w14:paraId="49009518" w14:textId="77777777" w:rsidTr="00ED5FE7">
        <w:trPr>
          <w:cantSplit/>
          <w:jc w:val="center"/>
        </w:trPr>
        <w:tc>
          <w:tcPr>
            <w:tcW w:w="2600" w:type="dxa"/>
            <w:vAlign w:val="center"/>
          </w:tcPr>
          <w:p w14:paraId="612F20DD" w14:textId="77777777" w:rsidR="00ED5FE7" w:rsidRDefault="00000000">
            <w:pPr>
              <w:pStyle w:val="Compact"/>
              <w:keepNext/>
            </w:pPr>
            <w:r>
              <w:t>Age</w:t>
            </w:r>
          </w:p>
        </w:tc>
        <w:tc>
          <w:tcPr>
            <w:tcW w:w="2000" w:type="dxa"/>
            <w:vAlign w:val="center"/>
          </w:tcPr>
          <w:p w14:paraId="680CAAC7" w14:textId="77777777" w:rsidR="00ED5FE7" w:rsidRDefault="00000000">
            <w:pPr>
              <w:pStyle w:val="Compact"/>
              <w:keepNext/>
              <w:jc w:val="center"/>
            </w:pPr>
            <w:r>
              <w:t>0.4184</w:t>
            </w:r>
          </w:p>
        </w:tc>
      </w:tr>
      <w:tr w:rsidR="00ED5FE7" w14:paraId="2A42DBB4" w14:textId="77777777" w:rsidTr="00ED5FE7">
        <w:trPr>
          <w:cantSplit/>
          <w:jc w:val="center"/>
        </w:trPr>
        <w:tc>
          <w:tcPr>
            <w:tcW w:w="2600" w:type="dxa"/>
            <w:vAlign w:val="center"/>
          </w:tcPr>
          <w:p w14:paraId="36649CC6" w14:textId="77777777" w:rsidR="00ED5FE7" w:rsidRDefault="00000000">
            <w:pPr>
              <w:pStyle w:val="Compact"/>
              <w:keepNext/>
            </w:pPr>
            <w:r>
              <w:t>Sex</w:t>
            </w:r>
          </w:p>
        </w:tc>
        <w:tc>
          <w:tcPr>
            <w:tcW w:w="2000" w:type="dxa"/>
            <w:vAlign w:val="center"/>
          </w:tcPr>
          <w:p w14:paraId="4CDF36B7" w14:textId="77777777" w:rsidR="00ED5FE7" w:rsidRDefault="00000000">
            <w:pPr>
              <w:pStyle w:val="Compact"/>
              <w:keepNext/>
              <w:jc w:val="center"/>
            </w:pPr>
            <w:r>
              <w:t>0.6048</w:t>
            </w:r>
          </w:p>
        </w:tc>
      </w:tr>
      <w:tr w:rsidR="00ED5FE7" w14:paraId="7829B9E1" w14:textId="77777777" w:rsidTr="00ED5FE7">
        <w:trPr>
          <w:cantSplit/>
          <w:jc w:val="center"/>
        </w:trPr>
        <w:tc>
          <w:tcPr>
            <w:tcW w:w="2600" w:type="dxa"/>
            <w:vAlign w:val="center"/>
          </w:tcPr>
          <w:p w14:paraId="61F35E55" w14:textId="77777777" w:rsidR="00ED5FE7" w:rsidRDefault="00000000">
            <w:pPr>
              <w:pStyle w:val="Compact"/>
              <w:keepNext/>
            </w:pPr>
            <w:r>
              <w:t>Treatment</w:t>
            </w:r>
          </w:p>
        </w:tc>
        <w:tc>
          <w:tcPr>
            <w:tcW w:w="2000" w:type="dxa"/>
            <w:vAlign w:val="center"/>
          </w:tcPr>
          <w:p w14:paraId="5076C9D4" w14:textId="77777777" w:rsidR="00ED5FE7" w:rsidRDefault="00000000">
            <w:pPr>
              <w:pStyle w:val="Compact"/>
              <w:keepNext/>
              <w:jc w:val="center"/>
            </w:pPr>
            <w:r>
              <w:t>0.4976</w:t>
            </w:r>
          </w:p>
        </w:tc>
      </w:tr>
      <w:tr w:rsidR="00ED5FE7" w14:paraId="5225A291" w14:textId="77777777" w:rsidTr="00ED5FE7">
        <w:trPr>
          <w:cantSplit/>
          <w:jc w:val="center"/>
        </w:trPr>
        <w:tc>
          <w:tcPr>
            <w:tcW w:w="2600" w:type="dxa"/>
            <w:vAlign w:val="center"/>
          </w:tcPr>
          <w:p w14:paraId="73CCF435" w14:textId="77777777" w:rsidR="00ED5FE7" w:rsidRDefault="00000000">
            <w:pPr>
              <w:pStyle w:val="Compact"/>
              <w:keepNext/>
            </w:pPr>
            <w:r>
              <w:t>Bilirubin</w:t>
            </w:r>
          </w:p>
        </w:tc>
        <w:tc>
          <w:tcPr>
            <w:tcW w:w="2000" w:type="dxa"/>
            <w:vAlign w:val="center"/>
          </w:tcPr>
          <w:p w14:paraId="18C17EAE" w14:textId="77777777" w:rsidR="00ED5FE7" w:rsidRDefault="00000000">
            <w:pPr>
              <w:pStyle w:val="Compact"/>
              <w:keepNext/>
              <w:jc w:val="center"/>
            </w:pPr>
            <w:r>
              <w:t>0.0055</w:t>
            </w:r>
          </w:p>
        </w:tc>
      </w:tr>
      <w:tr w:rsidR="00ED5FE7" w14:paraId="3EEDF63F" w14:textId="77777777" w:rsidTr="00ED5FE7">
        <w:trPr>
          <w:cantSplit/>
          <w:jc w:val="center"/>
        </w:trPr>
        <w:tc>
          <w:tcPr>
            <w:tcW w:w="2600" w:type="dxa"/>
            <w:vAlign w:val="center"/>
          </w:tcPr>
          <w:p w14:paraId="08DA67DA" w14:textId="77777777" w:rsidR="00ED5FE7" w:rsidRDefault="00000000">
            <w:pPr>
              <w:pStyle w:val="Compact"/>
              <w:keepNext/>
            </w:pPr>
            <w:r>
              <w:t>Albumin</w:t>
            </w:r>
          </w:p>
        </w:tc>
        <w:tc>
          <w:tcPr>
            <w:tcW w:w="2000" w:type="dxa"/>
            <w:vAlign w:val="center"/>
          </w:tcPr>
          <w:p w14:paraId="3DCEBB23" w14:textId="77777777" w:rsidR="00ED5FE7" w:rsidRDefault="00000000">
            <w:pPr>
              <w:pStyle w:val="Compact"/>
              <w:keepNext/>
              <w:jc w:val="center"/>
            </w:pPr>
            <w:r>
              <w:t>0.4979</w:t>
            </w:r>
          </w:p>
        </w:tc>
      </w:tr>
      <w:tr w:rsidR="00ED5FE7" w14:paraId="6EE7F288" w14:textId="77777777" w:rsidTr="00ED5FE7">
        <w:trPr>
          <w:cantSplit/>
          <w:jc w:val="center"/>
        </w:trPr>
        <w:tc>
          <w:tcPr>
            <w:tcW w:w="2600" w:type="dxa"/>
            <w:vAlign w:val="center"/>
          </w:tcPr>
          <w:p w14:paraId="4A0CA222" w14:textId="77777777" w:rsidR="00ED5FE7" w:rsidRDefault="00000000">
            <w:pPr>
              <w:pStyle w:val="Compact"/>
              <w:keepNext/>
            </w:pPr>
            <w:r>
              <w:t>Edema</w:t>
            </w:r>
          </w:p>
        </w:tc>
        <w:tc>
          <w:tcPr>
            <w:tcW w:w="2000" w:type="dxa"/>
            <w:vAlign w:val="center"/>
          </w:tcPr>
          <w:p w14:paraId="61B4C49F" w14:textId="77777777" w:rsidR="00ED5FE7" w:rsidRDefault="00000000">
            <w:pPr>
              <w:pStyle w:val="Compact"/>
              <w:keepNext/>
              <w:jc w:val="center"/>
            </w:pPr>
            <w:r>
              <w:t>0.0699</w:t>
            </w:r>
          </w:p>
        </w:tc>
      </w:tr>
      <w:tr w:rsidR="00ED5FE7" w14:paraId="3C41C16F" w14:textId="77777777" w:rsidTr="00ED5FE7">
        <w:trPr>
          <w:cantSplit/>
          <w:jc w:val="center"/>
        </w:trPr>
        <w:tc>
          <w:tcPr>
            <w:tcW w:w="2600" w:type="dxa"/>
            <w:vAlign w:val="center"/>
          </w:tcPr>
          <w:p w14:paraId="53504563" w14:textId="77777777" w:rsidR="00ED5FE7" w:rsidRDefault="00000000">
            <w:pPr>
              <w:pStyle w:val="Compact"/>
              <w:keepNext/>
            </w:pPr>
            <w:r>
              <w:t>Stage</w:t>
            </w:r>
          </w:p>
        </w:tc>
        <w:tc>
          <w:tcPr>
            <w:tcW w:w="2000" w:type="dxa"/>
            <w:vAlign w:val="center"/>
          </w:tcPr>
          <w:p w14:paraId="4982DC14" w14:textId="77777777" w:rsidR="00ED5FE7" w:rsidRDefault="00000000">
            <w:pPr>
              <w:pStyle w:val="Compact"/>
              <w:keepNext/>
              <w:jc w:val="center"/>
            </w:pPr>
            <w:r>
              <w:t>0.0573</w:t>
            </w:r>
          </w:p>
        </w:tc>
      </w:tr>
      <w:tr w:rsidR="00ED5FE7" w14:paraId="7D18D330" w14:textId="77777777" w:rsidTr="00ED5FE7">
        <w:trPr>
          <w:cantSplit/>
          <w:jc w:val="center"/>
        </w:trPr>
        <w:tc>
          <w:tcPr>
            <w:tcW w:w="2600" w:type="dxa"/>
            <w:vAlign w:val="center"/>
          </w:tcPr>
          <w:p w14:paraId="41A694D1" w14:textId="77777777" w:rsidR="00ED5FE7" w:rsidRDefault="00000000">
            <w:pPr>
              <w:pStyle w:val="Compact"/>
            </w:pPr>
            <w:r>
              <w:rPr>
                <w:b/>
                <w:bCs/>
              </w:rPr>
              <w:t>Global</w:t>
            </w:r>
          </w:p>
        </w:tc>
        <w:tc>
          <w:tcPr>
            <w:tcW w:w="2000" w:type="dxa"/>
            <w:vAlign w:val="center"/>
          </w:tcPr>
          <w:p w14:paraId="2EA7F96F" w14:textId="77777777" w:rsidR="00ED5FE7" w:rsidRDefault="00000000">
            <w:pPr>
              <w:pStyle w:val="Compact"/>
              <w:jc w:val="center"/>
            </w:pPr>
            <w:r>
              <w:rPr>
                <w:b/>
                <w:bCs/>
              </w:rPr>
              <w:t>0.0109</w:t>
            </w:r>
          </w:p>
        </w:tc>
      </w:tr>
    </w:tbl>
    <w:p w14:paraId="3C6ADDA9" w14:textId="77777777" w:rsidR="00ED5FE7" w:rsidRDefault="00000000">
      <w:pPr>
        <w:pStyle w:val="Heading1"/>
      </w:pPr>
      <w:bookmarkStart w:id="38" w:name="X895163f184c9bd6cc14e4bff186a78efc2f2cc2"/>
      <w:bookmarkEnd w:id="37"/>
      <w:r>
        <w:t>26. Interpretation of Proportional Hazards Test</w:t>
      </w:r>
    </w:p>
    <w:p w14:paraId="6AC674BC" w14:textId="77777777" w:rsidR="00ED5FE7" w:rsidRDefault="00000000">
      <w:pPr>
        <w:pStyle w:val="FirstParagraph"/>
        <w:keepNext/>
      </w:pPr>
      <w:r>
        <w:t>For an individual covariate:</w:t>
      </w:r>
    </w:p>
    <w:tbl>
      <w:tblPr>
        <w:tblStyle w:val="Table"/>
        <w:tblW w:w="9026"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7"/>
        <w:gridCol w:w="7892"/>
        <w:gridCol w:w="567"/>
      </w:tblGrid>
      <w:tr w:rsidR="00ED5FE7" w14:paraId="0368FA3D" w14:textId="77777777" w:rsidTr="00ED5FE7">
        <w:trPr>
          <w:cantSplit/>
          <w:jc w:val="center"/>
        </w:trPr>
        <w:tc>
          <w:tcPr>
            <w:tcW w:w="567" w:type="dxa"/>
            <w:vAlign w:val="center"/>
          </w:tcPr>
          <w:p w14:paraId="5A79300E" w14:textId="77777777" w:rsidR="00ED5FE7" w:rsidRDefault="00ED5FE7">
            <w:pPr>
              <w:pStyle w:val="EquationNumber"/>
            </w:pPr>
          </w:p>
        </w:tc>
        <w:tc>
          <w:tcPr>
            <w:tcW w:w="7892" w:type="dxa"/>
            <w:vAlign w:val="center"/>
          </w:tcPr>
          <w:p w14:paraId="76356851" w14:textId="77777777" w:rsidR="00ED5FE7" w:rsidRDefault="00000000">
            <w:pPr>
              <w:pStyle w:val="EquationDisplay"/>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r>
                  <m:rPr>
                    <m:nor/>
                  </m:rPr>
                  <m:t>Proportional hazards assumption holds</m:t>
                </m:r>
              </m:oMath>
            </m:oMathPara>
          </w:p>
        </w:tc>
        <w:tc>
          <w:tcPr>
            <w:tcW w:w="567" w:type="dxa"/>
            <w:vAlign w:val="center"/>
          </w:tcPr>
          <w:p w14:paraId="79EFE674" w14:textId="77777777" w:rsidR="00ED5FE7" w:rsidRDefault="00000000">
            <w:pPr>
              <w:pStyle w:val="EquationNumber"/>
            </w:pPr>
            <w:r>
              <w:t>(7)</w:t>
            </w:r>
          </w:p>
        </w:tc>
      </w:tr>
    </w:tbl>
    <w:p w14:paraId="6D54A0A4" w14:textId="77777777" w:rsidR="00ED5FE7" w:rsidRDefault="00000000">
      <w:pPr>
        <w:pStyle w:val="FirstParagraph"/>
      </w:pPr>
      <w:r>
        <w:t xml:space="preserve">A small </w:t>
      </w:r>
      <w:r>
        <w:rPr>
          <w:i/>
          <w:iCs/>
        </w:rPr>
        <w:t>p</w:t>
      </w:r>
      <w:r>
        <w:t>-value provides evidence against the assumption.</w:t>
      </w:r>
    </w:p>
    <w:p w14:paraId="62A3B367" w14:textId="77777777" w:rsidR="00ED5FE7" w:rsidRDefault="00000000">
      <w:pPr>
        <w:pStyle w:val="BodyText"/>
      </w:pPr>
      <w:r>
        <w:t>Most variables did not show significant evidence of violation.</w:t>
      </w:r>
    </w:p>
    <w:p w14:paraId="3D267220" w14:textId="77777777" w:rsidR="00ED5FE7" w:rsidRDefault="00000000">
      <w:pPr>
        <w:pStyle w:val="BodyText"/>
      </w:pPr>
      <w:r>
        <w:t xml:space="preserve">However, bilirubin had a </w:t>
      </w:r>
      <w:r>
        <w:rPr>
          <w:i/>
          <w:iCs/>
        </w:rPr>
        <w:t>p</w:t>
      </w:r>
      <w:r>
        <w:t>-value of 0.0055, indicating a statistically significant violation of the proportional-hazards assumption.</w:t>
      </w:r>
    </w:p>
    <w:p w14:paraId="06F50B32" w14:textId="77777777" w:rsidR="00ED5FE7" w:rsidRDefault="00000000">
      <w:pPr>
        <w:pStyle w:val="BodyText"/>
      </w:pPr>
      <w:r>
        <w:t xml:space="preserve">The global test also gave </w:t>
      </w:r>
      <w:r>
        <w:rPr>
          <w:i/>
          <w:iCs/>
        </w:rPr>
        <w:t>p</w:t>
      </w:r>
      <w:r>
        <w:t> = 0.0109.</w:t>
      </w:r>
    </w:p>
    <w:p w14:paraId="01BB4147" w14:textId="77777777" w:rsidR="00ED5FE7" w:rsidRDefault="00000000">
      <w:pPr>
        <w:pStyle w:val="BodyText"/>
      </w:pPr>
      <w:r>
        <w:t>Therefore, the proportional-hazards assumption is not fully satisfied for the fitted model.</w:t>
      </w:r>
    </w:p>
    <w:p w14:paraId="07C3F88B" w14:textId="77777777" w:rsidR="00ED5FE7" w:rsidRDefault="00000000">
      <w:pPr>
        <w:pStyle w:val="BodyText"/>
      </w:pPr>
      <w:r>
        <w:t>This is an important finding.</w:t>
      </w:r>
    </w:p>
    <w:p w14:paraId="0422A55F" w14:textId="77777777" w:rsidR="00ED5FE7" w:rsidRDefault="00000000">
      <w:pPr>
        <w:pStyle w:val="BodyText"/>
      </w:pPr>
      <w:r>
        <w:t>The Cox model should therefore not be presented as a perfectly valid constant-hazard-ratio model across the entire follow-up period.</w:t>
      </w:r>
    </w:p>
    <w:p w14:paraId="402EF2D0" w14:textId="77777777" w:rsidR="00ED5FE7" w:rsidRDefault="00000000">
      <w:pPr>
        <w:pStyle w:val="BodyText"/>
      </w:pPr>
      <w:r>
        <w:t>The violation associated with bilirubin suggests that its effect on the hazard may change over time.</w:t>
      </w:r>
    </w:p>
    <w:p w14:paraId="6425E0D1" w14:textId="77777777" w:rsidR="00ED5FE7" w:rsidRDefault="00000000">
      <w:pPr>
        <w:pStyle w:val="BodyText"/>
        <w:keepNext/>
      </w:pPr>
      <w:r>
        <w:t>Potential extensions for a more advanced analysis would include:</w:t>
      </w:r>
    </w:p>
    <w:p w14:paraId="1C2EA146" w14:textId="77777777" w:rsidR="00ED5FE7" w:rsidRDefault="00000000">
      <w:pPr>
        <w:numPr>
          <w:ilvl w:val="0"/>
          <w:numId w:val="14"/>
        </w:numPr>
        <w:spacing w:after="60" w:line="360" w:lineRule="auto"/>
      </w:pPr>
      <w:r>
        <w:t>time-dependent covariates,</w:t>
      </w:r>
    </w:p>
    <w:p w14:paraId="43EDAAC2" w14:textId="77777777" w:rsidR="00ED5FE7" w:rsidRDefault="00000000">
      <w:pPr>
        <w:numPr>
          <w:ilvl w:val="0"/>
          <w:numId w:val="14"/>
        </w:numPr>
        <w:spacing w:after="60" w:line="360" w:lineRule="auto"/>
      </w:pPr>
      <w:r>
        <w:t>stratified Cox models where appropriate,</w:t>
      </w:r>
    </w:p>
    <w:p w14:paraId="0FBCB463" w14:textId="77777777" w:rsidR="00ED5FE7" w:rsidRDefault="00000000">
      <w:pPr>
        <w:numPr>
          <w:ilvl w:val="0"/>
          <w:numId w:val="14"/>
        </w:numPr>
        <w:spacing w:after="60" w:line="360" w:lineRule="auto"/>
      </w:pPr>
      <w:r>
        <w:t>interactions between covariates and time,</w:t>
      </w:r>
    </w:p>
    <w:p w14:paraId="5561009F" w14:textId="77777777" w:rsidR="00ED5FE7" w:rsidRDefault="00000000">
      <w:pPr>
        <w:numPr>
          <w:ilvl w:val="0"/>
          <w:numId w:val="14"/>
        </w:numPr>
        <w:spacing w:after="60" w:line="360" w:lineRule="auto"/>
      </w:pPr>
      <w:r>
        <w:lastRenderedPageBreak/>
        <w:t>or alternative survival models.</w:t>
      </w:r>
    </w:p>
    <w:p w14:paraId="0561B89E" w14:textId="77777777" w:rsidR="00ED5FE7" w:rsidRDefault="00000000">
      <w:pPr>
        <w:pStyle w:val="FirstParagraph"/>
      </w:pPr>
      <w:r>
        <w:t>For this project, identifying the violation is itself an important part of a proper survival-analysis workflow.</w:t>
      </w:r>
    </w:p>
    <w:p w14:paraId="10F44B9C" w14:textId="77777777" w:rsidR="00ED5FE7" w:rsidRDefault="00000000">
      <w:pPr>
        <w:pStyle w:val="Heading1"/>
      </w:pPr>
      <w:bookmarkStart w:id="39" w:name="schoenfeld-residual-plot"/>
      <w:bookmarkEnd w:id="38"/>
      <w:r>
        <w:t>27. Schoenfeld Residual Plot</w:t>
      </w:r>
    </w:p>
    <w:p w14:paraId="07055AB8" w14:textId="77777777" w:rsidR="00ED5FE7" w:rsidRDefault="00000000">
      <w:pPr>
        <w:pStyle w:val="CaptionedFigure"/>
      </w:pPr>
      <w:r>
        <w:rPr>
          <w:noProof/>
        </w:rPr>
        <w:drawing>
          <wp:inline distT="0" distB="0" distL="0" distR="0" wp14:anchorId="2D2B4B5F" wp14:editId="70F74E74">
            <wp:extent cx="5334000" cy="4561455"/>
            <wp:effectExtent l="0" t="0" r="0" b="0"/>
            <wp:docPr id="75" name="Picture" descr="Figure 6. Schoenfeld residual diagnostics."/>
            <wp:cNvGraphicFramePr/>
            <a:graphic xmlns:a="http://schemas.openxmlformats.org/drawingml/2006/main">
              <a:graphicData uri="http://schemas.openxmlformats.org/drawingml/2006/picture">
                <pic:pic xmlns:pic="http://schemas.openxmlformats.org/drawingml/2006/picture">
                  <pic:nvPicPr>
                    <pic:cNvPr id="76" name="Picture" descr="figs/fig6.png"/>
                    <pic:cNvPicPr>
                      <a:picLocks noChangeAspect="1" noChangeArrowheads="1"/>
                    </pic:cNvPicPr>
                  </pic:nvPicPr>
                  <pic:blipFill>
                    <a:blip r:embed="rId13"/>
                    <a:stretch>
                      <a:fillRect/>
                    </a:stretch>
                  </pic:blipFill>
                  <pic:spPr bwMode="auto">
                    <a:xfrm>
                      <a:off x="0" y="0"/>
                      <a:ext cx="5334000" cy="4561455"/>
                    </a:xfrm>
                    <a:prstGeom prst="rect">
                      <a:avLst/>
                    </a:prstGeom>
                    <a:noFill/>
                    <a:ln w="9525">
                      <a:noFill/>
                      <a:headEnd/>
                      <a:tailEnd/>
                    </a:ln>
                  </pic:spPr>
                </pic:pic>
              </a:graphicData>
            </a:graphic>
          </wp:inline>
        </w:drawing>
      </w:r>
    </w:p>
    <w:p w14:paraId="7375FD69" w14:textId="77777777" w:rsidR="00ED5FE7" w:rsidRDefault="00000000">
      <w:pPr>
        <w:pStyle w:val="ImageCaption"/>
      </w:pPr>
      <w:r>
        <w:rPr>
          <w:b/>
          <w:bCs/>
        </w:rPr>
        <w:t>Figure 6.</w:t>
      </w:r>
      <w:r>
        <w:t xml:space="preserve"> Schoenfeld residual diagnostics.</w:t>
      </w:r>
    </w:p>
    <w:p w14:paraId="1087AAAC" w14:textId="77777777" w:rsidR="00ED5FE7" w:rsidRDefault="00000000">
      <w:pPr>
        <w:pStyle w:val="BodyText"/>
      </w:pPr>
      <w:r>
        <w:t>The Schoenfeld residual plots provide a graphical assessment of whether the effect of a covariate changes systematically with time.</w:t>
      </w:r>
    </w:p>
    <w:p w14:paraId="3FAB2FF9" w14:textId="77777777" w:rsidR="00ED5FE7" w:rsidRDefault="00000000">
      <w:pPr>
        <w:pStyle w:val="BodyText"/>
      </w:pPr>
      <w:r>
        <w:t>The formal test identifies bilirubin as the primary covariate for which the proportional-hazards assumption is questionable.</w:t>
      </w:r>
    </w:p>
    <w:p w14:paraId="255C32BC" w14:textId="77777777" w:rsidR="00ED5FE7" w:rsidRDefault="00000000">
      <w:pPr>
        <w:pStyle w:val="Heading1"/>
      </w:pPr>
      <w:bookmarkStart w:id="40" w:name="overall-results-summary"/>
      <w:bookmarkEnd w:id="39"/>
      <w:r>
        <w:lastRenderedPageBreak/>
        <w:t>28. Overall Results Summary</w:t>
      </w:r>
    </w:p>
    <w:p w14:paraId="5D131084" w14:textId="77777777" w:rsidR="00ED5FE7" w:rsidRDefault="00000000">
      <w:pPr>
        <w:pStyle w:val="FirstParagraph"/>
        <w:keepNext/>
      </w:pPr>
      <w:r>
        <w:t>The main findings can be summarized as follows:</w:t>
      </w:r>
    </w:p>
    <w:p w14:paraId="3F6D76F6" w14:textId="77777777" w:rsidR="00ED5FE7" w:rsidRDefault="00000000">
      <w:pPr>
        <w:pStyle w:val="TableCaption"/>
      </w:pPr>
      <w:r>
        <w:rPr>
          <w:b/>
          <w:bCs/>
        </w:rPr>
        <w:t>Table 5.</w:t>
      </w:r>
      <w:r>
        <w:t xml:space="preserve"> Summary of the main results.</w:t>
      </w:r>
    </w:p>
    <w:tbl>
      <w:tblPr>
        <w:tblStyle w:val="Table"/>
        <w:tblW w:w="9000" w:type="dxa"/>
        <w:jc w:val="center"/>
        <w:tblBorders>
          <w:top w:val="single" w:sz="12" w:space="0" w:color="000000"/>
          <w:left w:val="nil"/>
          <w:bottom w:val="single" w:sz="12" w:space="0" w:color="000000"/>
          <w:right w:val="nil"/>
          <w:insideH w:val="nil"/>
          <w:insideV w:val="nil"/>
        </w:tblBorders>
        <w:tblLayout w:type="fixed"/>
        <w:tblCellMar>
          <w:top w:w="30" w:type="dxa"/>
          <w:left w:w="100" w:type="dxa"/>
          <w:bottom w:w="30" w:type="dxa"/>
          <w:right w:w="100" w:type="dxa"/>
        </w:tblCellMar>
        <w:tblLook w:val="0000" w:firstRow="0" w:lastRow="0" w:firstColumn="0" w:lastColumn="0" w:noHBand="0" w:noVBand="0"/>
      </w:tblPr>
      <w:tblGrid>
        <w:gridCol w:w="2000"/>
        <w:gridCol w:w="2700"/>
        <w:gridCol w:w="4300"/>
      </w:tblGrid>
      <w:tr w:rsidR="00ED5FE7" w14:paraId="61B0EEE3" w14:textId="77777777" w:rsidTr="00ED5FE7">
        <w:trPr>
          <w:cantSplit/>
          <w:tblHeader/>
          <w:jc w:val="center"/>
        </w:trPr>
        <w:tc>
          <w:tcPr>
            <w:tcW w:w="2000" w:type="dxa"/>
            <w:tcBorders>
              <w:bottom w:val="single" w:sz="6" w:space="0" w:color="000000"/>
            </w:tcBorders>
            <w:vAlign w:val="center"/>
          </w:tcPr>
          <w:p w14:paraId="6579A17E" w14:textId="77777777" w:rsidR="00ED5FE7" w:rsidRDefault="00000000">
            <w:pPr>
              <w:pStyle w:val="Compact"/>
              <w:keepNext/>
            </w:pPr>
            <w:r>
              <w:rPr>
                <w:b/>
              </w:rPr>
              <w:t>Analysis</w:t>
            </w:r>
          </w:p>
        </w:tc>
        <w:tc>
          <w:tcPr>
            <w:tcW w:w="2700" w:type="dxa"/>
            <w:tcBorders>
              <w:bottom w:val="single" w:sz="6" w:space="0" w:color="000000"/>
            </w:tcBorders>
            <w:vAlign w:val="center"/>
          </w:tcPr>
          <w:p w14:paraId="06354EB8" w14:textId="77777777" w:rsidR="00ED5FE7" w:rsidRDefault="00000000">
            <w:pPr>
              <w:pStyle w:val="Compact"/>
              <w:keepNext/>
            </w:pPr>
            <w:r>
              <w:rPr>
                <w:b/>
              </w:rPr>
              <w:t>Result</w:t>
            </w:r>
          </w:p>
        </w:tc>
        <w:tc>
          <w:tcPr>
            <w:tcW w:w="4300" w:type="dxa"/>
            <w:tcBorders>
              <w:bottom w:val="single" w:sz="6" w:space="0" w:color="000000"/>
            </w:tcBorders>
            <w:vAlign w:val="center"/>
          </w:tcPr>
          <w:p w14:paraId="4619AA8E" w14:textId="77777777" w:rsidR="00ED5FE7" w:rsidRDefault="00000000">
            <w:pPr>
              <w:pStyle w:val="Compact"/>
              <w:keepNext/>
            </w:pPr>
            <w:r>
              <w:rPr>
                <w:b/>
              </w:rPr>
              <w:t>Interpretation</w:t>
            </w:r>
          </w:p>
        </w:tc>
      </w:tr>
      <w:tr w:rsidR="00ED5FE7" w14:paraId="5F7F8D24" w14:textId="77777777" w:rsidTr="00ED5FE7">
        <w:trPr>
          <w:cantSplit/>
          <w:jc w:val="center"/>
        </w:trPr>
        <w:tc>
          <w:tcPr>
            <w:tcW w:w="2000" w:type="dxa"/>
            <w:vAlign w:val="center"/>
          </w:tcPr>
          <w:p w14:paraId="5BC96A7B" w14:textId="77777777" w:rsidR="00ED5FE7" w:rsidRDefault="00000000">
            <w:pPr>
              <w:pStyle w:val="Compact"/>
              <w:keepNext/>
            </w:pPr>
            <w:r>
              <w:t>Overall KM</w:t>
            </w:r>
          </w:p>
        </w:tc>
        <w:tc>
          <w:tcPr>
            <w:tcW w:w="2700" w:type="dxa"/>
            <w:vAlign w:val="center"/>
          </w:tcPr>
          <w:p w14:paraId="5906DFBA" w14:textId="77777777" w:rsidR="00ED5FE7" w:rsidRDefault="00000000">
            <w:pPr>
              <w:pStyle w:val="Compact"/>
              <w:keepNext/>
            </w:pPr>
            <w:r>
              <w:t>Median ≈ 3358 days</w:t>
            </w:r>
          </w:p>
        </w:tc>
        <w:tc>
          <w:tcPr>
            <w:tcW w:w="4300" w:type="dxa"/>
            <w:vAlign w:val="center"/>
          </w:tcPr>
          <w:p w14:paraId="77C1C3C0" w14:textId="77777777" w:rsidR="00ED5FE7" w:rsidRDefault="00000000">
            <w:pPr>
              <w:pStyle w:val="Compact"/>
              <w:keepNext/>
            </w:pPr>
            <w:r>
              <w:t>50% estimated survival around 9.2 years</w:t>
            </w:r>
          </w:p>
        </w:tc>
      </w:tr>
      <w:tr w:rsidR="00ED5FE7" w14:paraId="71981B0B" w14:textId="77777777" w:rsidTr="00ED5FE7">
        <w:trPr>
          <w:cantSplit/>
          <w:jc w:val="center"/>
        </w:trPr>
        <w:tc>
          <w:tcPr>
            <w:tcW w:w="2000" w:type="dxa"/>
            <w:vAlign w:val="center"/>
          </w:tcPr>
          <w:p w14:paraId="3B56899A" w14:textId="77777777" w:rsidR="00ED5FE7" w:rsidRDefault="00000000">
            <w:pPr>
              <w:pStyle w:val="Compact"/>
              <w:keepNext/>
            </w:pPr>
            <w:r>
              <w:t>Treatment log-rank</w:t>
            </w:r>
          </w:p>
        </w:tc>
        <w:tc>
          <w:tcPr>
            <w:tcW w:w="2700" w:type="dxa"/>
            <w:vAlign w:val="center"/>
          </w:tcPr>
          <w:p w14:paraId="01E9A587" w14:textId="77777777" w:rsidR="00ED5FE7" w:rsidRDefault="00000000">
            <w:pPr>
              <w:pStyle w:val="Compact"/>
              <w:keepNext/>
            </w:pPr>
            <w:r>
              <w:rPr>
                <w:i/>
                <w:iCs/>
              </w:rPr>
              <w:t>p</w:t>
            </w:r>
            <w:r>
              <w:t> = 0.7498</w:t>
            </w:r>
          </w:p>
        </w:tc>
        <w:tc>
          <w:tcPr>
            <w:tcW w:w="4300" w:type="dxa"/>
            <w:vAlign w:val="center"/>
          </w:tcPr>
          <w:p w14:paraId="7B7FD194" w14:textId="77777777" w:rsidR="00ED5FE7" w:rsidRDefault="00000000">
            <w:pPr>
              <w:pStyle w:val="Compact"/>
              <w:keepNext/>
            </w:pPr>
            <w:r>
              <w:t>No significant survival difference</w:t>
            </w:r>
          </w:p>
        </w:tc>
      </w:tr>
      <w:tr w:rsidR="00ED5FE7" w14:paraId="1816BAC0" w14:textId="77777777" w:rsidTr="00ED5FE7">
        <w:trPr>
          <w:cantSplit/>
          <w:jc w:val="center"/>
        </w:trPr>
        <w:tc>
          <w:tcPr>
            <w:tcW w:w="2000" w:type="dxa"/>
            <w:vAlign w:val="center"/>
          </w:tcPr>
          <w:p w14:paraId="735264B6" w14:textId="77777777" w:rsidR="00ED5FE7" w:rsidRDefault="00000000">
            <w:pPr>
              <w:pStyle w:val="Compact"/>
              <w:keepNext/>
            </w:pPr>
            <w:r>
              <w:t>Sex log-rank</w:t>
            </w:r>
          </w:p>
        </w:tc>
        <w:tc>
          <w:tcPr>
            <w:tcW w:w="2700" w:type="dxa"/>
            <w:vAlign w:val="center"/>
          </w:tcPr>
          <w:p w14:paraId="3AEE93BA" w14:textId="77777777" w:rsidR="00ED5FE7" w:rsidRDefault="00000000">
            <w:pPr>
              <w:pStyle w:val="Compact"/>
              <w:keepNext/>
            </w:pPr>
            <w:r>
              <w:rPr>
                <w:i/>
                <w:iCs/>
              </w:rPr>
              <w:t>p</w:t>
            </w:r>
            <w:r>
              <w:t> = 0.0388</w:t>
            </w:r>
          </w:p>
        </w:tc>
        <w:tc>
          <w:tcPr>
            <w:tcW w:w="4300" w:type="dxa"/>
            <w:vAlign w:val="center"/>
          </w:tcPr>
          <w:p w14:paraId="6DA618EA" w14:textId="77777777" w:rsidR="00ED5FE7" w:rsidRDefault="00000000">
            <w:pPr>
              <w:pStyle w:val="Compact"/>
              <w:keepNext/>
            </w:pPr>
            <w:r>
              <w:t>Significant survival-distribution difference</w:t>
            </w:r>
          </w:p>
        </w:tc>
      </w:tr>
      <w:tr w:rsidR="00ED5FE7" w14:paraId="4EF98FF9" w14:textId="77777777" w:rsidTr="00ED5FE7">
        <w:trPr>
          <w:cantSplit/>
          <w:jc w:val="center"/>
        </w:trPr>
        <w:tc>
          <w:tcPr>
            <w:tcW w:w="2000" w:type="dxa"/>
            <w:vAlign w:val="center"/>
          </w:tcPr>
          <w:p w14:paraId="3B072766" w14:textId="77777777" w:rsidR="00ED5FE7" w:rsidRDefault="00000000">
            <w:pPr>
              <w:pStyle w:val="Compact"/>
              <w:keepNext/>
            </w:pPr>
            <w:r>
              <w:t>Stage log-rank</w:t>
            </w:r>
          </w:p>
        </w:tc>
        <w:tc>
          <w:tcPr>
            <w:tcW w:w="2700" w:type="dxa"/>
            <w:vAlign w:val="center"/>
          </w:tcPr>
          <w:p w14:paraId="1C7F511E" w14:textId="77777777" w:rsidR="00ED5FE7" w:rsidRDefault="00000000">
            <w:pPr>
              <w:pStyle w:val="Compact"/>
              <w:keepNext/>
            </w:pPr>
            <w:r>
              <w:rPr>
                <w:i/>
                <w:iCs/>
              </w:rPr>
              <w:t>p</w:t>
            </w:r>
            <w:r>
              <w:t> = 1.22 × 10</w:t>
            </w:r>
            <w:r>
              <w:rPr>
                <w:vertAlign w:val="superscript"/>
              </w:rPr>
              <w:t>−11</w:t>
            </w:r>
          </w:p>
        </w:tc>
        <w:tc>
          <w:tcPr>
            <w:tcW w:w="4300" w:type="dxa"/>
            <w:vAlign w:val="center"/>
          </w:tcPr>
          <w:p w14:paraId="5B57B64D" w14:textId="77777777" w:rsidR="00ED5FE7" w:rsidRDefault="00000000">
            <w:pPr>
              <w:pStyle w:val="Compact"/>
              <w:keepNext/>
            </w:pPr>
            <w:r>
              <w:t>Strong evidence of stage-related survival differences</w:t>
            </w:r>
          </w:p>
        </w:tc>
      </w:tr>
      <w:tr w:rsidR="00ED5FE7" w14:paraId="0400FA41" w14:textId="77777777" w:rsidTr="00ED5FE7">
        <w:trPr>
          <w:cantSplit/>
          <w:jc w:val="center"/>
        </w:trPr>
        <w:tc>
          <w:tcPr>
            <w:tcW w:w="2000" w:type="dxa"/>
            <w:vAlign w:val="center"/>
          </w:tcPr>
          <w:p w14:paraId="571521CA" w14:textId="77777777" w:rsidR="00ED5FE7" w:rsidRDefault="00000000">
            <w:pPr>
              <w:pStyle w:val="Compact"/>
              <w:keepNext/>
            </w:pPr>
            <w:r>
              <w:t>Age Cox HR</w:t>
            </w:r>
          </w:p>
        </w:tc>
        <w:tc>
          <w:tcPr>
            <w:tcW w:w="2700" w:type="dxa"/>
            <w:vAlign w:val="center"/>
          </w:tcPr>
          <w:p w14:paraId="60BE3685" w14:textId="77777777" w:rsidR="00ED5FE7" w:rsidRDefault="00000000">
            <w:pPr>
              <w:pStyle w:val="Compact"/>
              <w:keepNext/>
            </w:pPr>
            <w:r>
              <w:t>1.0249</w:t>
            </w:r>
          </w:p>
        </w:tc>
        <w:tc>
          <w:tcPr>
            <w:tcW w:w="4300" w:type="dxa"/>
            <w:vAlign w:val="center"/>
          </w:tcPr>
          <w:p w14:paraId="7C3E7AFB" w14:textId="77777777" w:rsidR="00ED5FE7" w:rsidRDefault="00000000">
            <w:pPr>
              <w:pStyle w:val="Compact"/>
              <w:keepNext/>
            </w:pPr>
            <w:r>
              <w:t>Higher age associated with higher hazard</w:t>
            </w:r>
          </w:p>
        </w:tc>
      </w:tr>
      <w:tr w:rsidR="00ED5FE7" w14:paraId="6C629006" w14:textId="77777777" w:rsidTr="00ED5FE7">
        <w:trPr>
          <w:cantSplit/>
          <w:jc w:val="center"/>
        </w:trPr>
        <w:tc>
          <w:tcPr>
            <w:tcW w:w="2000" w:type="dxa"/>
            <w:vAlign w:val="center"/>
          </w:tcPr>
          <w:p w14:paraId="348D47E3" w14:textId="77777777" w:rsidR="00ED5FE7" w:rsidRDefault="00000000">
            <w:pPr>
              <w:pStyle w:val="Compact"/>
              <w:keepNext/>
            </w:pPr>
            <w:r>
              <w:t>Female Cox HR</w:t>
            </w:r>
          </w:p>
        </w:tc>
        <w:tc>
          <w:tcPr>
            <w:tcW w:w="2700" w:type="dxa"/>
            <w:vAlign w:val="center"/>
          </w:tcPr>
          <w:p w14:paraId="2B0B92C1" w14:textId="77777777" w:rsidR="00ED5FE7" w:rsidRDefault="00000000">
            <w:pPr>
              <w:pStyle w:val="Compact"/>
              <w:keepNext/>
            </w:pPr>
            <w:r>
              <w:t>0.5521</w:t>
            </w:r>
          </w:p>
        </w:tc>
        <w:tc>
          <w:tcPr>
            <w:tcW w:w="4300" w:type="dxa"/>
            <w:vAlign w:val="center"/>
          </w:tcPr>
          <w:p w14:paraId="7609ADEF" w14:textId="77777777" w:rsidR="00ED5FE7" w:rsidRDefault="00000000">
            <w:pPr>
              <w:pStyle w:val="Compact"/>
              <w:keepNext/>
            </w:pPr>
            <w:r>
              <w:t>Lower estimated hazard than males</w:t>
            </w:r>
          </w:p>
        </w:tc>
      </w:tr>
      <w:tr w:rsidR="00ED5FE7" w14:paraId="2DEC6C43" w14:textId="77777777" w:rsidTr="00ED5FE7">
        <w:trPr>
          <w:cantSplit/>
          <w:jc w:val="center"/>
        </w:trPr>
        <w:tc>
          <w:tcPr>
            <w:tcW w:w="2000" w:type="dxa"/>
            <w:vAlign w:val="center"/>
          </w:tcPr>
          <w:p w14:paraId="1C3C2D18" w14:textId="77777777" w:rsidR="00ED5FE7" w:rsidRDefault="00000000">
            <w:pPr>
              <w:pStyle w:val="Compact"/>
              <w:keepNext/>
            </w:pPr>
            <w:r>
              <w:t>Treatment 2 HR</w:t>
            </w:r>
          </w:p>
        </w:tc>
        <w:tc>
          <w:tcPr>
            <w:tcW w:w="2700" w:type="dxa"/>
            <w:vAlign w:val="center"/>
          </w:tcPr>
          <w:p w14:paraId="4B9AAF62" w14:textId="77777777" w:rsidR="00ED5FE7" w:rsidRDefault="00000000">
            <w:pPr>
              <w:pStyle w:val="Compact"/>
              <w:keepNext/>
            </w:pPr>
            <w:r>
              <w:t>0.9746</w:t>
            </w:r>
          </w:p>
        </w:tc>
        <w:tc>
          <w:tcPr>
            <w:tcW w:w="4300" w:type="dxa"/>
            <w:vAlign w:val="center"/>
          </w:tcPr>
          <w:p w14:paraId="08472F40" w14:textId="77777777" w:rsidR="00ED5FE7" w:rsidRDefault="00000000">
            <w:pPr>
              <w:pStyle w:val="Compact"/>
              <w:keepNext/>
            </w:pPr>
            <w:r>
              <w:t>No significant adjusted association</w:t>
            </w:r>
          </w:p>
        </w:tc>
      </w:tr>
      <w:tr w:rsidR="00ED5FE7" w14:paraId="4225DF22" w14:textId="77777777" w:rsidTr="00ED5FE7">
        <w:trPr>
          <w:cantSplit/>
          <w:jc w:val="center"/>
        </w:trPr>
        <w:tc>
          <w:tcPr>
            <w:tcW w:w="2000" w:type="dxa"/>
            <w:vAlign w:val="center"/>
          </w:tcPr>
          <w:p w14:paraId="62022127" w14:textId="77777777" w:rsidR="00ED5FE7" w:rsidRDefault="00000000">
            <w:pPr>
              <w:pStyle w:val="Compact"/>
              <w:keepNext/>
            </w:pPr>
            <w:r>
              <w:t>Bilirubin HR</w:t>
            </w:r>
          </w:p>
        </w:tc>
        <w:tc>
          <w:tcPr>
            <w:tcW w:w="2700" w:type="dxa"/>
            <w:vAlign w:val="center"/>
          </w:tcPr>
          <w:p w14:paraId="06BEB4B5" w14:textId="77777777" w:rsidR="00ED5FE7" w:rsidRDefault="00000000">
            <w:pPr>
              <w:pStyle w:val="Compact"/>
              <w:keepNext/>
            </w:pPr>
            <w:r>
              <w:t>1.1347</w:t>
            </w:r>
          </w:p>
        </w:tc>
        <w:tc>
          <w:tcPr>
            <w:tcW w:w="4300" w:type="dxa"/>
            <w:vAlign w:val="center"/>
          </w:tcPr>
          <w:p w14:paraId="5D272791" w14:textId="77777777" w:rsidR="00ED5FE7" w:rsidRDefault="00000000">
            <w:pPr>
              <w:pStyle w:val="Compact"/>
              <w:keepNext/>
            </w:pPr>
            <w:r>
              <w:t>Higher bilirubin associated with higher hazard</w:t>
            </w:r>
          </w:p>
        </w:tc>
      </w:tr>
      <w:tr w:rsidR="00ED5FE7" w14:paraId="50D6CB2E" w14:textId="77777777" w:rsidTr="00ED5FE7">
        <w:trPr>
          <w:cantSplit/>
          <w:jc w:val="center"/>
        </w:trPr>
        <w:tc>
          <w:tcPr>
            <w:tcW w:w="2000" w:type="dxa"/>
            <w:vAlign w:val="center"/>
          </w:tcPr>
          <w:p w14:paraId="41EE060D" w14:textId="77777777" w:rsidR="00ED5FE7" w:rsidRDefault="00000000">
            <w:pPr>
              <w:pStyle w:val="Compact"/>
              <w:keepNext/>
            </w:pPr>
            <w:r>
              <w:t>Albumin HR</w:t>
            </w:r>
          </w:p>
        </w:tc>
        <w:tc>
          <w:tcPr>
            <w:tcW w:w="2700" w:type="dxa"/>
            <w:vAlign w:val="center"/>
          </w:tcPr>
          <w:p w14:paraId="636AED5F" w14:textId="77777777" w:rsidR="00ED5FE7" w:rsidRDefault="00000000">
            <w:pPr>
              <w:pStyle w:val="Compact"/>
              <w:keepNext/>
            </w:pPr>
            <w:r>
              <w:t>0.3950</w:t>
            </w:r>
          </w:p>
        </w:tc>
        <w:tc>
          <w:tcPr>
            <w:tcW w:w="4300" w:type="dxa"/>
            <w:vAlign w:val="center"/>
          </w:tcPr>
          <w:p w14:paraId="18214EC0" w14:textId="77777777" w:rsidR="00ED5FE7" w:rsidRDefault="00000000">
            <w:pPr>
              <w:pStyle w:val="Compact"/>
              <w:keepNext/>
            </w:pPr>
            <w:r>
              <w:t>Higher albumin associated with lower hazard</w:t>
            </w:r>
          </w:p>
        </w:tc>
      </w:tr>
      <w:tr w:rsidR="00ED5FE7" w14:paraId="1B666520" w14:textId="77777777" w:rsidTr="00ED5FE7">
        <w:trPr>
          <w:cantSplit/>
          <w:jc w:val="center"/>
        </w:trPr>
        <w:tc>
          <w:tcPr>
            <w:tcW w:w="2000" w:type="dxa"/>
            <w:vAlign w:val="center"/>
          </w:tcPr>
          <w:p w14:paraId="5B3D7CB9" w14:textId="77777777" w:rsidR="00ED5FE7" w:rsidRDefault="00000000">
            <w:pPr>
              <w:pStyle w:val="Compact"/>
              <w:keepNext/>
            </w:pPr>
            <w:r>
              <w:t>Edema HR</w:t>
            </w:r>
          </w:p>
        </w:tc>
        <w:tc>
          <w:tcPr>
            <w:tcW w:w="2700" w:type="dxa"/>
            <w:vAlign w:val="center"/>
          </w:tcPr>
          <w:p w14:paraId="60E6BD51" w14:textId="77777777" w:rsidR="00ED5FE7" w:rsidRDefault="00000000">
            <w:pPr>
              <w:pStyle w:val="Compact"/>
              <w:keepNext/>
            </w:pPr>
            <w:r>
              <w:t>2.6486</w:t>
            </w:r>
          </w:p>
        </w:tc>
        <w:tc>
          <w:tcPr>
            <w:tcW w:w="4300" w:type="dxa"/>
            <w:vAlign w:val="center"/>
          </w:tcPr>
          <w:p w14:paraId="0EF9ACC9" w14:textId="77777777" w:rsidR="00ED5FE7" w:rsidRDefault="00000000">
            <w:pPr>
              <w:pStyle w:val="Compact"/>
              <w:keepNext/>
            </w:pPr>
            <w:r>
              <w:t>Edema associated with higher hazard</w:t>
            </w:r>
          </w:p>
        </w:tc>
      </w:tr>
      <w:tr w:rsidR="00ED5FE7" w14:paraId="718D8ED1" w14:textId="77777777" w:rsidTr="00ED5FE7">
        <w:trPr>
          <w:cantSplit/>
          <w:jc w:val="center"/>
        </w:trPr>
        <w:tc>
          <w:tcPr>
            <w:tcW w:w="2000" w:type="dxa"/>
            <w:vAlign w:val="center"/>
          </w:tcPr>
          <w:p w14:paraId="424248C1" w14:textId="77777777" w:rsidR="00ED5FE7" w:rsidRDefault="00000000">
            <w:pPr>
              <w:pStyle w:val="Compact"/>
              <w:keepNext/>
            </w:pPr>
            <w:r>
              <w:t>Stage 4 HR</w:t>
            </w:r>
          </w:p>
        </w:tc>
        <w:tc>
          <w:tcPr>
            <w:tcW w:w="2700" w:type="dxa"/>
            <w:vAlign w:val="center"/>
          </w:tcPr>
          <w:p w14:paraId="03EDDC93" w14:textId="77777777" w:rsidR="00ED5FE7" w:rsidRDefault="00000000">
            <w:pPr>
              <w:pStyle w:val="Compact"/>
              <w:keepNext/>
            </w:pPr>
            <w:r>
              <w:t>9.4656</w:t>
            </w:r>
          </w:p>
        </w:tc>
        <w:tc>
          <w:tcPr>
            <w:tcW w:w="4300" w:type="dxa"/>
            <w:vAlign w:val="center"/>
          </w:tcPr>
          <w:p w14:paraId="57339951" w14:textId="77777777" w:rsidR="00ED5FE7" w:rsidRDefault="00000000">
            <w:pPr>
              <w:pStyle w:val="Compact"/>
              <w:keepNext/>
            </w:pPr>
            <w:r>
              <w:t>Higher estimated hazard than Stage 1</w:t>
            </w:r>
          </w:p>
        </w:tc>
      </w:tr>
      <w:tr w:rsidR="00ED5FE7" w14:paraId="645B613D" w14:textId="77777777" w:rsidTr="00ED5FE7">
        <w:trPr>
          <w:cantSplit/>
          <w:jc w:val="center"/>
        </w:trPr>
        <w:tc>
          <w:tcPr>
            <w:tcW w:w="2000" w:type="dxa"/>
            <w:vAlign w:val="center"/>
          </w:tcPr>
          <w:p w14:paraId="5EACD253" w14:textId="77777777" w:rsidR="00ED5FE7" w:rsidRDefault="00000000">
            <w:pPr>
              <w:pStyle w:val="Compact"/>
              <w:keepNext/>
            </w:pPr>
            <w:r>
              <w:t>Cox concordance</w:t>
            </w:r>
          </w:p>
        </w:tc>
        <w:tc>
          <w:tcPr>
            <w:tcW w:w="2700" w:type="dxa"/>
            <w:vAlign w:val="center"/>
          </w:tcPr>
          <w:p w14:paraId="270D914C" w14:textId="77777777" w:rsidR="00ED5FE7" w:rsidRDefault="00000000">
            <w:pPr>
              <w:pStyle w:val="Compact"/>
              <w:keepNext/>
            </w:pPr>
            <w:r>
              <w:t>0.839</w:t>
            </w:r>
          </w:p>
        </w:tc>
        <w:tc>
          <w:tcPr>
            <w:tcW w:w="4300" w:type="dxa"/>
            <w:vAlign w:val="center"/>
          </w:tcPr>
          <w:p w14:paraId="4E8BCD9A" w14:textId="77777777" w:rsidR="00ED5FE7" w:rsidRDefault="00000000">
            <w:pPr>
              <w:pStyle w:val="Compact"/>
              <w:keepNext/>
            </w:pPr>
            <w:r>
              <w:t>Strong discrimination</w:t>
            </w:r>
          </w:p>
        </w:tc>
      </w:tr>
      <w:tr w:rsidR="00ED5FE7" w14:paraId="006FD67E" w14:textId="77777777" w:rsidTr="00ED5FE7">
        <w:trPr>
          <w:cantSplit/>
          <w:jc w:val="center"/>
        </w:trPr>
        <w:tc>
          <w:tcPr>
            <w:tcW w:w="2000" w:type="dxa"/>
            <w:vAlign w:val="center"/>
          </w:tcPr>
          <w:p w14:paraId="20AE4844" w14:textId="77777777" w:rsidR="00ED5FE7" w:rsidRDefault="00000000">
            <w:pPr>
              <w:pStyle w:val="Compact"/>
            </w:pPr>
            <w:r>
              <w:t>Global PH test</w:t>
            </w:r>
          </w:p>
        </w:tc>
        <w:tc>
          <w:tcPr>
            <w:tcW w:w="2700" w:type="dxa"/>
            <w:vAlign w:val="center"/>
          </w:tcPr>
          <w:p w14:paraId="591709C8" w14:textId="77777777" w:rsidR="00ED5FE7" w:rsidRDefault="00000000">
            <w:pPr>
              <w:pStyle w:val="Compact"/>
            </w:pPr>
            <w:r>
              <w:rPr>
                <w:i/>
                <w:iCs/>
              </w:rPr>
              <w:t>p</w:t>
            </w:r>
            <w:r>
              <w:t> = 0.0109</w:t>
            </w:r>
          </w:p>
        </w:tc>
        <w:tc>
          <w:tcPr>
            <w:tcW w:w="4300" w:type="dxa"/>
            <w:vAlign w:val="center"/>
          </w:tcPr>
          <w:p w14:paraId="63DF1685" w14:textId="77777777" w:rsidR="00ED5FE7" w:rsidRDefault="00000000">
            <w:pPr>
              <w:pStyle w:val="Compact"/>
            </w:pPr>
            <w:r>
              <w:t>PH assumption violated</w:t>
            </w:r>
          </w:p>
        </w:tc>
      </w:tr>
    </w:tbl>
    <w:p w14:paraId="5D846202" w14:textId="77777777" w:rsidR="00ED5FE7" w:rsidRDefault="00000000">
      <w:pPr>
        <w:pStyle w:val="BodyText"/>
        <w:spacing w:before="240"/>
      </w:pPr>
      <w:r>
        <w:t>These values are directly from the submitted R output.</w:t>
      </w:r>
    </w:p>
    <w:p w14:paraId="3AB0D672" w14:textId="06FD238E" w:rsidR="00ED5FE7" w:rsidRDefault="00000000">
      <w:pPr>
        <w:pStyle w:val="Heading1"/>
      </w:pPr>
      <w:bookmarkStart w:id="41" w:name="discussion"/>
      <w:bookmarkEnd w:id="40"/>
      <w:r>
        <w:t xml:space="preserve">29. </w:t>
      </w:r>
      <w:r w:rsidR="009B2675">
        <w:t>Interpretation</w:t>
      </w:r>
    </w:p>
    <w:p w14:paraId="2D1FB20D" w14:textId="77777777" w:rsidR="00ED5FE7" w:rsidRDefault="00000000">
      <w:pPr>
        <w:pStyle w:val="FirstParagraph"/>
      </w:pPr>
      <w:r>
        <w:t>The analysis demonstrates that survival outcomes in the PBC cohort vary considerably according to patient characteristics.</w:t>
      </w:r>
    </w:p>
    <w:p w14:paraId="33FE6002" w14:textId="77777777" w:rsidR="00ED5FE7" w:rsidRDefault="00000000">
      <w:pPr>
        <w:pStyle w:val="BodyText"/>
      </w:pPr>
      <w:r>
        <w:t>The Kaplan–Meier analysis showed a gradual decline in survival probability throughout follow-up, with the estimated median survival occurring at approximately 3358 days.</w:t>
      </w:r>
    </w:p>
    <w:p w14:paraId="40B60AE9" w14:textId="77777777" w:rsidR="00ED5FE7" w:rsidRDefault="00000000">
      <w:pPr>
        <w:pStyle w:val="BodyText"/>
      </w:pPr>
      <w:r>
        <w:t xml:space="preserve">Treatment did not show a statistically significant survival difference. This result was consistent across both the Kaplan–Meier/log-rank comparison and the adjusted Cox model. The treatment log-rank test produced </w:t>
      </w:r>
      <w:r>
        <w:rPr>
          <w:i/>
          <w:iCs/>
        </w:rPr>
        <w:t>p</w:t>
      </w:r>
      <w:r>
        <w:t xml:space="preserve"> = 0.7498, while the adjusted treatment hazard ratio was 0.975 with </w:t>
      </w:r>
      <w:r>
        <w:rPr>
          <w:i/>
          <w:iCs/>
        </w:rPr>
        <w:t>p</w:t>
      </w:r>
      <w:r>
        <w:t> = 0.890.</w:t>
      </w:r>
    </w:p>
    <w:p w14:paraId="22CD72D9" w14:textId="77777777" w:rsidR="00ED5FE7" w:rsidRDefault="00000000">
      <w:pPr>
        <w:pStyle w:val="BodyText"/>
      </w:pPr>
      <w:r>
        <w:t xml:space="preserve">In contrast, sex showed a statistically significant difference in the unadjusted survival analysis. The log-rank </w:t>
      </w:r>
      <w:r>
        <w:rPr>
          <w:i/>
          <w:iCs/>
        </w:rPr>
        <w:t>p</w:t>
      </w:r>
      <w:r>
        <w:t>-value was 0.0388, and sex remained statistically significant in the Cox model after adjustment.</w:t>
      </w:r>
    </w:p>
    <w:p w14:paraId="3EBBBF61" w14:textId="77777777" w:rsidR="00ED5FE7" w:rsidRDefault="00000000">
      <w:pPr>
        <w:pStyle w:val="BodyText"/>
      </w:pPr>
      <w:r>
        <w:lastRenderedPageBreak/>
        <w:t xml:space="preserve">Disease stage produced the strongest group-level evidence. The log-rank test gave </w:t>
      </w:r>
      <w:r>
        <w:rPr>
          <w:i/>
          <w:iCs/>
        </w:rPr>
        <w:t>p</w:t>
      </w:r>
      <w:r>
        <w:t> = 1.215 × 10</w:t>
      </w:r>
      <w:r>
        <w:rPr>
          <w:vertAlign w:val="superscript"/>
        </w:rPr>
        <w:t>−11</w:t>
      </w:r>
      <w:r>
        <w:t>, indicating substantial differences in survival distributions across stages. Stage 4 also showed a significantly elevated hazard relative to Stage 1 in the Cox model.</w:t>
      </w:r>
    </w:p>
    <w:p w14:paraId="43A9D031" w14:textId="77777777" w:rsidR="00ED5FE7" w:rsidRDefault="00000000">
      <w:pPr>
        <w:pStyle w:val="BodyText"/>
      </w:pPr>
      <w:r>
        <w:t>Among continuous clinical variables, bilirubin and albumin showed strong associations with mortality. Higher bilirubin was associated with increased hazard, whereas higher albumin was associated with reduced hazard. Edema was also positively associated with the hazard of death.</w:t>
      </w:r>
    </w:p>
    <w:p w14:paraId="64A4CD7A" w14:textId="77777777" w:rsidR="00ED5FE7" w:rsidRDefault="00000000">
      <w:pPr>
        <w:pStyle w:val="BodyText"/>
      </w:pPr>
      <w:r>
        <w:t>The model demonstrated strong discrimination with a concordance of 0.839. Nevertheless, the proportional-hazards assumption was violated globally, primarily because of bilirubin. Consequently, the Cox regression should be interpreted with this model limitation in mind.</w:t>
      </w:r>
    </w:p>
    <w:p w14:paraId="216BADD2" w14:textId="77777777" w:rsidR="00ED5FE7" w:rsidRDefault="00000000">
      <w:pPr>
        <w:pStyle w:val="Heading1"/>
      </w:pPr>
      <w:bookmarkStart w:id="42" w:name="limitations"/>
      <w:bookmarkEnd w:id="41"/>
      <w:r>
        <w:t>30. Limitations</w:t>
      </w:r>
    </w:p>
    <w:p w14:paraId="3AF8055D" w14:textId="77777777" w:rsidR="00ED5FE7" w:rsidRDefault="00000000">
      <w:pPr>
        <w:pStyle w:val="FirstParagraph"/>
      </w:pPr>
      <w:r>
        <w:t>Several limitations should be acknowledged.</w:t>
      </w:r>
    </w:p>
    <w:p w14:paraId="57F2A3D7" w14:textId="77777777" w:rsidR="00ED5FE7" w:rsidRDefault="00000000">
      <w:pPr>
        <w:pStyle w:val="Heading3"/>
      </w:pPr>
      <w:bookmarkStart w:id="43" w:name="complete-case-analysis"/>
      <w:r>
        <w:t>1. Complete-case analysis</w:t>
      </w:r>
    </w:p>
    <w:p w14:paraId="12844DE5" w14:textId="77777777" w:rsidR="00ED5FE7" w:rsidRDefault="00000000">
      <w:pPr>
        <w:pStyle w:val="FirstParagraph"/>
      </w:pPr>
      <w:r>
        <w:t>The original dataset contained 418 observations, but only 312 remained after removing observations with missing values.</w:t>
      </w:r>
    </w:p>
    <w:p w14:paraId="78ACF50C" w14:textId="77777777" w:rsidR="00ED5FE7" w:rsidRDefault="00000000">
      <w:pPr>
        <w:pStyle w:val="BodyText"/>
      </w:pPr>
      <w:r>
        <w:t>Complete-case analysis can potentially introduce selection bias if the missingness mechanism is related to patient characteristics or survival.</w:t>
      </w:r>
    </w:p>
    <w:p w14:paraId="1E41C9AB" w14:textId="77777777" w:rsidR="00ED5FE7" w:rsidRDefault="00000000">
      <w:pPr>
        <w:pStyle w:val="Heading3"/>
      </w:pPr>
      <w:bookmarkStart w:id="44" w:name="transplantation-treated-as-censoring"/>
      <w:bookmarkEnd w:id="43"/>
      <w:r>
        <w:t>2. Transplantation treated as censoring</w:t>
      </w:r>
    </w:p>
    <w:p w14:paraId="5CE265C8" w14:textId="77777777" w:rsidR="00ED5FE7" w:rsidRDefault="00000000">
      <w:pPr>
        <w:pStyle w:val="FirstParagraph"/>
      </w:pPr>
      <w:r>
        <w:t>Transplantation was classified as censored rather than as a competing event.</w:t>
      </w:r>
    </w:p>
    <w:p w14:paraId="7467A07D" w14:textId="77777777" w:rsidR="00ED5FE7" w:rsidRDefault="00000000">
      <w:pPr>
        <w:pStyle w:val="BodyText"/>
      </w:pPr>
      <w:r>
        <w:t>A competing-risks framework could provide a more technically appropriate analysis.</w:t>
      </w:r>
    </w:p>
    <w:p w14:paraId="4684DEC2" w14:textId="77777777" w:rsidR="00ED5FE7" w:rsidRDefault="00000000">
      <w:pPr>
        <w:pStyle w:val="Heading3"/>
      </w:pPr>
      <w:bookmarkStart w:id="45" w:name="proportional-hazards-violation"/>
      <w:bookmarkEnd w:id="44"/>
      <w:r>
        <w:t>3. Proportional-hazards violation</w:t>
      </w:r>
    </w:p>
    <w:p w14:paraId="7262A259" w14:textId="77777777" w:rsidR="00ED5FE7" w:rsidRDefault="00000000">
      <w:pPr>
        <w:pStyle w:val="FirstParagraph"/>
      </w:pPr>
      <w:r>
        <w:t>The global Schoenfeld test was significant, and bilirubin violated the proportional-hazards assumption.</w:t>
      </w:r>
    </w:p>
    <w:p w14:paraId="4CFB236C" w14:textId="77777777" w:rsidR="00ED5FE7" w:rsidRDefault="00000000">
      <w:pPr>
        <w:pStyle w:val="BodyText"/>
      </w:pPr>
      <w:r>
        <w:t>Consequently, the standard Cox model does not completely satisfy one of its principal assumptions.</w:t>
      </w:r>
    </w:p>
    <w:p w14:paraId="598AC012" w14:textId="77777777" w:rsidR="00ED5FE7" w:rsidRDefault="00000000">
      <w:pPr>
        <w:pStyle w:val="Heading3"/>
      </w:pPr>
      <w:bookmarkStart w:id="46" w:name="small-stage-1-group"/>
      <w:bookmarkEnd w:id="45"/>
      <w:r>
        <w:t>4. Small Stage 1 group</w:t>
      </w:r>
    </w:p>
    <w:p w14:paraId="3AF76A93" w14:textId="77777777" w:rsidR="00ED5FE7" w:rsidRDefault="00000000">
      <w:pPr>
        <w:pStyle w:val="FirstParagraph"/>
      </w:pPr>
      <w:r>
        <w:t>Only 16 patients belonged to Stage 1, leading to very wide confidence intervals for the stage coefficients.</w:t>
      </w:r>
    </w:p>
    <w:p w14:paraId="40C062CB" w14:textId="77777777" w:rsidR="00ED5FE7" w:rsidRDefault="00000000">
      <w:pPr>
        <w:pStyle w:val="BodyText"/>
      </w:pPr>
      <w:r>
        <w:t>For example, the Stage 4 hazard ratio had a 95% confidence interval extending from 1.275 to 70.278.</w:t>
      </w:r>
    </w:p>
    <w:p w14:paraId="2F9AD3F9" w14:textId="77777777" w:rsidR="00ED5FE7" w:rsidRDefault="00000000">
      <w:pPr>
        <w:pStyle w:val="Heading3"/>
      </w:pPr>
      <w:bookmarkStart w:id="47" w:name="observational-interpretation"/>
      <w:bookmarkEnd w:id="46"/>
      <w:r>
        <w:lastRenderedPageBreak/>
        <w:t>5. Observational interpretation</w:t>
      </w:r>
    </w:p>
    <w:p w14:paraId="61C2C335" w14:textId="77777777" w:rsidR="00ED5FE7" w:rsidRDefault="00000000">
      <w:pPr>
        <w:pStyle w:val="FirstParagraph"/>
      </w:pPr>
      <w:r>
        <w:t>The results demonstrate statistical associations. They should not automatically be interpreted as causal effects of the covariates on survival.</w:t>
      </w:r>
    </w:p>
    <w:p w14:paraId="07C7BA99" w14:textId="77777777" w:rsidR="00ED5FE7" w:rsidRDefault="00000000">
      <w:pPr>
        <w:pStyle w:val="Heading1"/>
      </w:pPr>
      <w:bookmarkStart w:id="48" w:name="conclusion"/>
      <w:bookmarkEnd w:id="42"/>
      <w:bookmarkEnd w:id="47"/>
      <w:r>
        <w:t>31. Conclusion</w:t>
      </w:r>
    </w:p>
    <w:p w14:paraId="144E3A1B" w14:textId="77777777" w:rsidR="00ED5FE7" w:rsidRDefault="00000000">
      <w:pPr>
        <w:pStyle w:val="FirstParagraph"/>
      </w:pPr>
      <w:r>
        <w:t>This project demonstrated the application of several fundamental survival-analysis techniques to the PBC dataset.</w:t>
      </w:r>
    </w:p>
    <w:p w14:paraId="1817CBF8" w14:textId="77777777" w:rsidR="00ED5FE7" w:rsidRDefault="00000000">
      <w:pPr>
        <w:pStyle w:val="BodyText"/>
      </w:pPr>
      <w:r>
        <w:t>The Kaplan–Meier estimator provided a non-parametric description of survival, with the estimated median survival occurring at approximately 3358 days, or approximately 9.2 years.</w:t>
      </w:r>
    </w:p>
    <w:p w14:paraId="63F8985F" w14:textId="77777777" w:rsidR="00ED5FE7" w:rsidRDefault="00000000">
      <w:pPr>
        <w:pStyle w:val="BodyText"/>
      </w:pPr>
      <w:r>
        <w:t>The log-rank analysis showed that survival distributions did not differ significantly between the two treatment groups (</w:t>
      </w:r>
      <w:r>
        <w:rPr>
          <w:i/>
          <w:iCs/>
        </w:rPr>
        <w:t>p</w:t>
      </w:r>
      <w:r>
        <w:t> = 0.7498). In contrast, a statistically significant difference was observed between male and female patients (</w:t>
      </w:r>
      <w:r>
        <w:rPr>
          <w:i/>
          <w:iCs/>
        </w:rPr>
        <w:t>p</w:t>
      </w:r>
      <w:r>
        <w:t> = 0.0388), while disease stage showed a very strong association with survival distributions (</w:t>
      </w:r>
      <w:r>
        <w:rPr>
          <w:i/>
          <w:iCs/>
        </w:rPr>
        <w:t>p</w:t>
      </w:r>
      <w:r>
        <w:t> &lt; 0.001).</w:t>
      </w:r>
    </w:p>
    <w:p w14:paraId="52FA65F4" w14:textId="77777777" w:rsidR="00ED5FE7" w:rsidRDefault="00000000">
      <w:pPr>
        <w:pStyle w:val="BodyText"/>
      </w:pPr>
      <w:r>
        <w:t>The multivariable Cox model identified age, sex, bilirubin, albumin, edema and Stage 4 as statistically significant predictors/associates of the hazard of death at the 5% significance level. Treatment was not statistically significant after adjustment.</w:t>
      </w:r>
    </w:p>
    <w:p w14:paraId="6B261BA1" w14:textId="77777777" w:rsidR="00ED5FE7" w:rsidRDefault="00000000">
      <w:pPr>
        <w:pStyle w:val="BodyText"/>
      </w:pPr>
      <w:r>
        <w:t>In particular, increasing age and bilirubin were associated with increased hazard, while female sex and higher albumin were associated with lower estimated hazard. Edema was associated with substantially higher hazard, and Stage 4 showed an estimated hazard approximately 9.47 times that of Stage 1.</w:t>
      </w:r>
    </w:p>
    <w:p w14:paraId="2FFECF19" w14:textId="77777777" w:rsidR="00ED5FE7" w:rsidRDefault="00000000">
      <w:pPr>
        <w:pStyle w:val="BodyText"/>
      </w:pPr>
      <w:r>
        <w:t>The model demonstrated strong discriminatory ability, with a concordance statistic of 0.839. However, the global Schoenfeld residual test was significant (</w:t>
      </w:r>
      <w:r>
        <w:rPr>
          <w:i/>
          <w:iCs/>
        </w:rPr>
        <w:t>p</w:t>
      </w:r>
      <w:r>
        <w:t> = 0.0109), indicating that the proportional-hazards assumption was not fully satisfied. Bilirubin was particularly responsible for this violation (</w:t>
      </w:r>
      <w:r>
        <w:rPr>
          <w:i/>
          <w:iCs/>
        </w:rPr>
        <w:t>p</w:t>
      </w:r>
      <w:r>
        <w:t> = 0.0055).</w:t>
      </w:r>
    </w:p>
    <w:p w14:paraId="5D5BC33A" w14:textId="77777777" w:rsidR="00ED5FE7" w:rsidRDefault="00000000">
      <w:pPr>
        <w:pStyle w:val="BodyText"/>
      </w:pPr>
      <w:r>
        <w:t>Overall, the project illustrates the importance of using a sequence of survival-analysis methods: Kaplan–Meier estimation for describing survival, log-rank testing for group comparisons, and Cox regression for multivariable analysis. It also demonstrates that model diagnostics are essential; a statistically strong Cox model should not be interpreted without checking whether its underlying assumptions are satisfied.</w:t>
      </w:r>
    </w:p>
    <w:p w14:paraId="245D7D69" w14:textId="77777777" w:rsidR="00ED5FE7" w:rsidRDefault="00000000">
      <w:pPr>
        <w:pStyle w:val="BodyText"/>
      </w:pPr>
      <w:r>
        <w:t>For a more advanced extension, the analysis could incorporate time-varying effects for bilirubin, competing-risks methodology for transplantation, and potentially alternative survival models to address the limitations identified in the present analysis.</w:t>
      </w:r>
      <w:bookmarkEnd w:id="48"/>
    </w:p>
    <w:p w14:paraId="37DFC56A" w14:textId="77777777" w:rsidR="00F45229" w:rsidRPr="00F45229" w:rsidRDefault="00F45229" w:rsidP="00F45229">
      <w:pPr>
        <w:pStyle w:val="BodyText"/>
        <w:rPr>
          <w:lang w:val="en-IN"/>
        </w:rPr>
      </w:pPr>
      <w:r w:rsidRPr="00F45229">
        <w:rPr>
          <w:b/>
          <w:bCs/>
          <w:lang w:val="en-IN"/>
        </w:rPr>
        <w:lastRenderedPageBreak/>
        <w:t>References</w:t>
      </w:r>
    </w:p>
    <w:p w14:paraId="1EA53479" w14:textId="77777777" w:rsidR="00F45229" w:rsidRPr="00F45229" w:rsidRDefault="00F45229" w:rsidP="00F45229">
      <w:pPr>
        <w:pStyle w:val="BodyText"/>
        <w:rPr>
          <w:lang w:val="en-IN"/>
        </w:rPr>
      </w:pPr>
      <w:r w:rsidRPr="00F45229">
        <w:rPr>
          <w:lang w:val="en-IN"/>
        </w:rPr>
        <w:t xml:space="preserve">Austin, P.C., Lee, D.S. and Fine, J.P. (2016) 'Introduction to the analysis of survival data in the presence of competing risks', </w:t>
      </w:r>
      <w:r w:rsidRPr="00F45229">
        <w:rPr>
          <w:i/>
          <w:iCs/>
          <w:lang w:val="en-IN"/>
        </w:rPr>
        <w:t>Circulation</w:t>
      </w:r>
      <w:r w:rsidRPr="00F45229">
        <w:rPr>
          <w:lang w:val="en-IN"/>
        </w:rPr>
        <w:t>, 133(6), pp. 601–609.</w:t>
      </w:r>
    </w:p>
    <w:p w14:paraId="5700B13C" w14:textId="77777777" w:rsidR="00F45229" w:rsidRPr="00F45229" w:rsidRDefault="00F45229" w:rsidP="00F45229">
      <w:pPr>
        <w:pStyle w:val="BodyText"/>
        <w:rPr>
          <w:lang w:val="en-IN"/>
        </w:rPr>
      </w:pPr>
      <w:r w:rsidRPr="00F45229">
        <w:rPr>
          <w:lang w:val="en-IN"/>
        </w:rPr>
        <w:t xml:space="preserve">R Core Team (2024) </w:t>
      </w:r>
      <w:r w:rsidRPr="00F45229">
        <w:rPr>
          <w:i/>
          <w:iCs/>
          <w:lang w:val="en-IN"/>
        </w:rPr>
        <w:t>R: A Language and Environment for Statistical Computing</w:t>
      </w:r>
      <w:r w:rsidRPr="00F45229">
        <w:rPr>
          <w:lang w:val="en-IN"/>
        </w:rPr>
        <w:t xml:space="preserve">. Vienna: R Foundation for Statistical Computing. Available at: </w:t>
      </w:r>
      <w:hyperlink r:id="rId14" w:history="1">
        <w:r w:rsidRPr="00F45229">
          <w:rPr>
            <w:rStyle w:val="Hyperlink"/>
            <w:lang w:val="en-IN"/>
          </w:rPr>
          <w:t>https://www.R-project.org/</w:t>
        </w:r>
      </w:hyperlink>
      <w:r w:rsidRPr="00F45229">
        <w:rPr>
          <w:lang w:val="en-IN"/>
        </w:rPr>
        <w:t xml:space="preserve"> (Accessed: 4 October 2026).</w:t>
      </w:r>
    </w:p>
    <w:p w14:paraId="509C31E6" w14:textId="77777777" w:rsidR="00F45229" w:rsidRPr="00F45229" w:rsidRDefault="00F45229" w:rsidP="00F45229">
      <w:pPr>
        <w:pStyle w:val="BodyText"/>
        <w:rPr>
          <w:lang w:val="en-IN"/>
        </w:rPr>
      </w:pPr>
      <w:r w:rsidRPr="00F45229">
        <w:rPr>
          <w:lang w:val="en-IN"/>
        </w:rPr>
        <w:t xml:space="preserve">Schoenfeld, D. (1982) 'Partial residuals for the proportional hazards regression model', </w:t>
      </w:r>
      <w:r w:rsidRPr="00F45229">
        <w:rPr>
          <w:i/>
          <w:iCs/>
          <w:lang w:val="en-IN"/>
        </w:rPr>
        <w:t>Biometrika</w:t>
      </w:r>
      <w:r w:rsidRPr="00F45229">
        <w:rPr>
          <w:lang w:val="en-IN"/>
        </w:rPr>
        <w:t>, 69(1), pp. 239–241.</w:t>
      </w:r>
    </w:p>
    <w:p w14:paraId="13331C00" w14:textId="77777777" w:rsidR="00F45229" w:rsidRPr="00F45229" w:rsidRDefault="00F45229" w:rsidP="00F45229">
      <w:pPr>
        <w:pStyle w:val="BodyText"/>
        <w:rPr>
          <w:lang w:val="en-IN"/>
        </w:rPr>
      </w:pPr>
      <w:r w:rsidRPr="00F45229">
        <w:rPr>
          <w:lang w:val="en-IN"/>
        </w:rPr>
        <w:t xml:space="preserve">Therneau, T.M. (2024) </w:t>
      </w:r>
      <w:r w:rsidRPr="00F45229">
        <w:rPr>
          <w:i/>
          <w:iCs/>
          <w:lang w:val="en-IN"/>
        </w:rPr>
        <w:t>survival: A Package for Survival Analysis in R</w:t>
      </w:r>
      <w:r w:rsidRPr="00F45229">
        <w:rPr>
          <w:lang w:val="en-IN"/>
        </w:rPr>
        <w:t xml:space="preserve">. R package. Available at: </w:t>
      </w:r>
      <w:hyperlink r:id="rId15" w:history="1">
        <w:r w:rsidRPr="00F45229">
          <w:rPr>
            <w:rStyle w:val="Hyperlink"/>
            <w:lang w:val="en-IN"/>
          </w:rPr>
          <w:t>https://CRAN.R-project.org/package=survival</w:t>
        </w:r>
      </w:hyperlink>
      <w:r w:rsidRPr="00F45229">
        <w:rPr>
          <w:lang w:val="en-IN"/>
        </w:rPr>
        <w:t xml:space="preserve"> (Accessed: 4 October 2026).</w:t>
      </w:r>
    </w:p>
    <w:p w14:paraId="2AC5DE81" w14:textId="77777777" w:rsidR="00F45229" w:rsidRPr="00F45229" w:rsidRDefault="00F45229" w:rsidP="00F45229">
      <w:pPr>
        <w:pStyle w:val="BodyText"/>
        <w:rPr>
          <w:lang w:val="en-IN"/>
        </w:rPr>
      </w:pPr>
      <w:r w:rsidRPr="00F45229">
        <w:rPr>
          <w:lang w:val="en-IN"/>
        </w:rPr>
        <w:t xml:space="preserve">Therneau, T.M. and Grambsch, P.M. (2000) </w:t>
      </w:r>
      <w:r w:rsidRPr="00F45229">
        <w:rPr>
          <w:i/>
          <w:iCs/>
          <w:lang w:val="en-IN"/>
        </w:rPr>
        <w:t>Modeling Survival Data: Extending the Cox Model</w:t>
      </w:r>
      <w:r w:rsidRPr="00F45229">
        <w:rPr>
          <w:lang w:val="en-IN"/>
        </w:rPr>
        <w:t>. New York: Springer.</w:t>
      </w:r>
    </w:p>
    <w:p w14:paraId="06808187" w14:textId="77777777" w:rsidR="00F45229" w:rsidRDefault="00F45229">
      <w:pPr>
        <w:pStyle w:val="BodyText"/>
        <w:rPr>
          <w:b/>
          <w:bCs/>
        </w:rPr>
      </w:pPr>
    </w:p>
    <w:p w14:paraId="10BEB3D0" w14:textId="77777777" w:rsidR="00F45229" w:rsidRDefault="00F45229">
      <w:pPr>
        <w:pStyle w:val="BodyText"/>
        <w:rPr>
          <w:b/>
          <w:bCs/>
        </w:rPr>
      </w:pPr>
    </w:p>
    <w:p w14:paraId="7B9AAC8D" w14:textId="77777777" w:rsidR="00F45229" w:rsidRDefault="00F45229">
      <w:pPr>
        <w:pStyle w:val="BodyText"/>
        <w:rPr>
          <w:b/>
          <w:bCs/>
        </w:rPr>
      </w:pPr>
    </w:p>
    <w:p w14:paraId="1577D725" w14:textId="77777777" w:rsidR="00F45229" w:rsidRDefault="00F45229">
      <w:pPr>
        <w:pStyle w:val="BodyText"/>
        <w:rPr>
          <w:b/>
          <w:bCs/>
        </w:rPr>
      </w:pPr>
    </w:p>
    <w:p w14:paraId="6621C3A9" w14:textId="77777777" w:rsidR="00F45229" w:rsidRDefault="00F45229">
      <w:pPr>
        <w:pStyle w:val="BodyText"/>
        <w:rPr>
          <w:b/>
          <w:bCs/>
        </w:rPr>
      </w:pPr>
    </w:p>
    <w:p w14:paraId="3D887E8E" w14:textId="77777777" w:rsidR="00F45229" w:rsidRDefault="00F45229">
      <w:pPr>
        <w:pStyle w:val="BodyText"/>
        <w:rPr>
          <w:b/>
          <w:bCs/>
        </w:rPr>
      </w:pPr>
    </w:p>
    <w:p w14:paraId="1E10187B" w14:textId="77777777" w:rsidR="00F45229" w:rsidRDefault="00F45229">
      <w:pPr>
        <w:pStyle w:val="BodyText"/>
        <w:rPr>
          <w:b/>
          <w:bCs/>
        </w:rPr>
      </w:pPr>
    </w:p>
    <w:p w14:paraId="799DDEFE" w14:textId="77777777" w:rsidR="00F45229" w:rsidRDefault="00F45229">
      <w:pPr>
        <w:pStyle w:val="BodyText"/>
        <w:rPr>
          <w:b/>
          <w:bCs/>
        </w:rPr>
      </w:pPr>
    </w:p>
    <w:p w14:paraId="3D1EB57B" w14:textId="77777777" w:rsidR="00F45229" w:rsidRDefault="00F45229">
      <w:pPr>
        <w:pStyle w:val="BodyText"/>
        <w:rPr>
          <w:b/>
          <w:bCs/>
        </w:rPr>
      </w:pPr>
    </w:p>
    <w:p w14:paraId="4E0AC9EE" w14:textId="77777777" w:rsidR="00F45229" w:rsidRDefault="00F45229">
      <w:pPr>
        <w:pStyle w:val="BodyText"/>
        <w:rPr>
          <w:b/>
          <w:bCs/>
        </w:rPr>
      </w:pPr>
    </w:p>
    <w:p w14:paraId="62108D72" w14:textId="77777777" w:rsidR="00F45229" w:rsidRDefault="00F45229">
      <w:pPr>
        <w:pStyle w:val="BodyText"/>
        <w:rPr>
          <w:b/>
          <w:bCs/>
        </w:rPr>
      </w:pPr>
    </w:p>
    <w:p w14:paraId="541D0E07" w14:textId="77777777" w:rsidR="00F45229" w:rsidRDefault="00F45229">
      <w:pPr>
        <w:pStyle w:val="BodyText"/>
        <w:rPr>
          <w:b/>
          <w:bCs/>
        </w:rPr>
      </w:pPr>
    </w:p>
    <w:p w14:paraId="7396BD8D" w14:textId="77777777" w:rsidR="00F45229" w:rsidRDefault="00F45229">
      <w:pPr>
        <w:pStyle w:val="BodyText"/>
        <w:rPr>
          <w:b/>
          <w:bCs/>
        </w:rPr>
      </w:pPr>
    </w:p>
    <w:p w14:paraId="11923449" w14:textId="77777777" w:rsidR="00F45229" w:rsidRDefault="00F45229">
      <w:pPr>
        <w:pStyle w:val="BodyText"/>
        <w:rPr>
          <w:b/>
          <w:bCs/>
        </w:rPr>
      </w:pPr>
    </w:p>
    <w:p w14:paraId="373F95D4" w14:textId="77777777" w:rsidR="00F45229" w:rsidRDefault="00F45229">
      <w:pPr>
        <w:pStyle w:val="BodyText"/>
        <w:rPr>
          <w:b/>
          <w:bCs/>
        </w:rPr>
      </w:pPr>
    </w:p>
    <w:p w14:paraId="174E0007" w14:textId="77777777" w:rsidR="00F45229" w:rsidRDefault="00F45229">
      <w:pPr>
        <w:pStyle w:val="BodyText"/>
        <w:rPr>
          <w:b/>
          <w:bCs/>
        </w:rPr>
      </w:pPr>
      <w:r w:rsidRPr="00F45229">
        <w:rPr>
          <w:b/>
          <w:bCs/>
        </w:rPr>
        <w:lastRenderedPageBreak/>
        <w:t>APPENDIX</w:t>
      </w:r>
    </w:p>
    <w:p w14:paraId="3862C8C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5C430712" w14:textId="4EECE853"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SURVIVAL ANALYSIS - PBC DATASET</w:t>
      </w:r>
    </w:p>
    <w:p w14:paraId="1273210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65C7853A" w14:textId="77777777" w:rsidR="00F45229" w:rsidRPr="00F45229" w:rsidRDefault="00F45229" w:rsidP="00F45229">
      <w:pPr>
        <w:pStyle w:val="BodyText"/>
        <w:spacing w:after="0" w:line="240" w:lineRule="auto"/>
        <w:rPr>
          <w:i/>
          <w:iCs/>
          <w:color w:val="000099"/>
          <w:sz w:val="16"/>
          <w:szCs w:val="16"/>
        </w:rPr>
      </w:pPr>
    </w:p>
    <w:p w14:paraId="324EE0EE" w14:textId="175B4796"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Instal</w:t>
      </w:r>
      <w:r>
        <w:rPr>
          <w:i/>
          <w:iCs/>
          <w:color w:val="000099"/>
          <w:sz w:val="16"/>
          <w:szCs w:val="16"/>
        </w:rPr>
        <w:t>L</w:t>
      </w:r>
    </w:p>
    <w:p w14:paraId="1717E2A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install.packages("survival")</w:t>
      </w:r>
    </w:p>
    <w:p w14:paraId="0A5EF27E" w14:textId="77777777" w:rsidR="00F45229" w:rsidRPr="00F45229" w:rsidRDefault="00F45229" w:rsidP="00F45229">
      <w:pPr>
        <w:pStyle w:val="BodyText"/>
        <w:spacing w:after="0" w:line="240" w:lineRule="auto"/>
        <w:rPr>
          <w:i/>
          <w:iCs/>
          <w:color w:val="000099"/>
          <w:sz w:val="16"/>
          <w:szCs w:val="16"/>
        </w:rPr>
      </w:pPr>
    </w:p>
    <w:p w14:paraId="77898CB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library(survival)</w:t>
      </w:r>
    </w:p>
    <w:p w14:paraId="72E8F4A4" w14:textId="77777777" w:rsidR="00F45229" w:rsidRPr="00F45229" w:rsidRDefault="00F45229" w:rsidP="00F45229">
      <w:pPr>
        <w:pStyle w:val="BodyText"/>
        <w:spacing w:after="0" w:line="240" w:lineRule="auto"/>
        <w:rPr>
          <w:i/>
          <w:iCs/>
          <w:color w:val="000099"/>
          <w:sz w:val="16"/>
          <w:szCs w:val="16"/>
        </w:rPr>
      </w:pPr>
    </w:p>
    <w:p w14:paraId="6DFE2A9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Load PBC dataset</w:t>
      </w:r>
    </w:p>
    <w:p w14:paraId="4AB4DC2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data("pbc", package = "survival")</w:t>
      </w:r>
    </w:p>
    <w:p w14:paraId="176F1419" w14:textId="77777777" w:rsidR="00F45229" w:rsidRPr="00F45229" w:rsidRDefault="00F45229" w:rsidP="00F45229">
      <w:pPr>
        <w:pStyle w:val="BodyText"/>
        <w:spacing w:after="0" w:line="240" w:lineRule="auto"/>
        <w:rPr>
          <w:i/>
          <w:iCs/>
          <w:color w:val="000099"/>
          <w:sz w:val="16"/>
          <w:szCs w:val="16"/>
        </w:rPr>
      </w:pPr>
    </w:p>
    <w:p w14:paraId="1B62B89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Check data</w:t>
      </w:r>
    </w:p>
    <w:p w14:paraId="354FFA2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head(pbc)</w:t>
      </w:r>
    </w:p>
    <w:p w14:paraId="583BA13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dim(pbc)</w:t>
      </w:r>
    </w:p>
    <w:p w14:paraId="02A3F9D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summary(pbc)</w:t>
      </w:r>
    </w:p>
    <w:p w14:paraId="67B59968" w14:textId="77777777" w:rsidR="00F45229" w:rsidRPr="00F45229" w:rsidRDefault="00F45229" w:rsidP="00F45229">
      <w:pPr>
        <w:pStyle w:val="BodyText"/>
        <w:spacing w:after="0" w:line="240" w:lineRule="auto"/>
        <w:rPr>
          <w:i/>
          <w:iCs/>
          <w:color w:val="000099"/>
          <w:sz w:val="16"/>
          <w:szCs w:val="16"/>
        </w:rPr>
      </w:pPr>
    </w:p>
    <w:p w14:paraId="3CCB09DE" w14:textId="77777777" w:rsidR="00F45229" w:rsidRPr="00F45229" w:rsidRDefault="00F45229" w:rsidP="00F45229">
      <w:pPr>
        <w:pStyle w:val="BodyText"/>
        <w:spacing w:after="0" w:line="240" w:lineRule="auto"/>
        <w:rPr>
          <w:i/>
          <w:iCs/>
          <w:color w:val="000099"/>
          <w:sz w:val="16"/>
          <w:szCs w:val="16"/>
        </w:rPr>
      </w:pPr>
    </w:p>
    <w:p w14:paraId="5446676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2BF8FD5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 SELECT VARIABLES</w:t>
      </w:r>
    </w:p>
    <w:p w14:paraId="0A1C755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00CE1F97" w14:textId="77777777" w:rsidR="00F45229" w:rsidRPr="00F45229" w:rsidRDefault="00F45229" w:rsidP="00F45229">
      <w:pPr>
        <w:pStyle w:val="BodyText"/>
        <w:spacing w:after="0" w:line="240" w:lineRule="auto"/>
        <w:rPr>
          <w:i/>
          <w:iCs/>
          <w:color w:val="000099"/>
          <w:sz w:val="16"/>
          <w:szCs w:val="16"/>
        </w:rPr>
      </w:pPr>
    </w:p>
    <w:p w14:paraId="7E9E91E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data &lt;- pbc[, c(</w:t>
      </w:r>
    </w:p>
    <w:p w14:paraId="245172D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"time",</w:t>
      </w:r>
    </w:p>
    <w:p w14:paraId="63B0630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"status",</w:t>
      </w:r>
    </w:p>
    <w:p w14:paraId="00D3B5C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"trt",</w:t>
      </w:r>
    </w:p>
    <w:p w14:paraId="54F02EB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"age",</w:t>
      </w:r>
    </w:p>
    <w:p w14:paraId="1D3BE8A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"sex",</w:t>
      </w:r>
    </w:p>
    <w:p w14:paraId="1E596EB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"bili",</w:t>
      </w:r>
    </w:p>
    <w:p w14:paraId="67F93BB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"albumin",</w:t>
      </w:r>
    </w:p>
    <w:p w14:paraId="5F74E87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"edema",</w:t>
      </w:r>
    </w:p>
    <w:p w14:paraId="2308242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"stage"</w:t>
      </w:r>
    </w:p>
    <w:p w14:paraId="0A5EF79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84CD0B0" w14:textId="77777777" w:rsidR="00F45229" w:rsidRPr="00F45229" w:rsidRDefault="00F45229" w:rsidP="00F45229">
      <w:pPr>
        <w:pStyle w:val="BodyText"/>
        <w:spacing w:after="0" w:line="240" w:lineRule="auto"/>
        <w:rPr>
          <w:i/>
          <w:iCs/>
          <w:color w:val="000099"/>
          <w:sz w:val="16"/>
          <w:szCs w:val="16"/>
        </w:rPr>
      </w:pPr>
    </w:p>
    <w:p w14:paraId="35EEEDAB" w14:textId="77777777" w:rsidR="00F45229" w:rsidRPr="00F45229" w:rsidRDefault="00F45229" w:rsidP="00F45229">
      <w:pPr>
        <w:pStyle w:val="BodyText"/>
        <w:spacing w:after="0" w:line="240" w:lineRule="auto"/>
        <w:rPr>
          <w:i/>
          <w:iCs/>
          <w:color w:val="000099"/>
          <w:sz w:val="16"/>
          <w:szCs w:val="16"/>
        </w:rPr>
      </w:pPr>
    </w:p>
    <w:p w14:paraId="2A208B2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D87C67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2. CREATE EVENT VARIABLE</w:t>
      </w:r>
    </w:p>
    <w:p w14:paraId="1CD6896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6D61B55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Original:</w:t>
      </w:r>
    </w:p>
    <w:p w14:paraId="5875C52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0 = censored</w:t>
      </w:r>
    </w:p>
    <w:p w14:paraId="39197C8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 = transplant</w:t>
      </w:r>
    </w:p>
    <w:p w14:paraId="21CC121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2 = death</w:t>
      </w:r>
    </w:p>
    <w:p w14:paraId="2CDE4F7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79BB65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Here:</w:t>
      </w:r>
    </w:p>
    <w:p w14:paraId="5BAFECB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0 = censored</w:t>
      </w:r>
    </w:p>
    <w:p w14:paraId="07192E0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 = death</w:t>
      </w:r>
    </w:p>
    <w:p w14:paraId="6C06AA10" w14:textId="77777777" w:rsidR="00F45229" w:rsidRPr="00F45229" w:rsidRDefault="00F45229" w:rsidP="00F45229">
      <w:pPr>
        <w:pStyle w:val="BodyText"/>
        <w:spacing w:after="0" w:line="240" w:lineRule="auto"/>
        <w:rPr>
          <w:i/>
          <w:iCs/>
          <w:color w:val="000099"/>
          <w:sz w:val="16"/>
          <w:szCs w:val="16"/>
        </w:rPr>
      </w:pPr>
    </w:p>
    <w:p w14:paraId="56B70F8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data$status_death &lt;- ifelse(data$status == 2, 1, 0)</w:t>
      </w:r>
    </w:p>
    <w:p w14:paraId="47DAFD6A" w14:textId="77777777" w:rsidR="00F45229" w:rsidRPr="00F45229" w:rsidRDefault="00F45229" w:rsidP="00F45229">
      <w:pPr>
        <w:pStyle w:val="BodyText"/>
        <w:spacing w:after="0" w:line="240" w:lineRule="auto"/>
        <w:rPr>
          <w:i/>
          <w:iCs/>
          <w:color w:val="000099"/>
          <w:sz w:val="16"/>
          <w:szCs w:val="16"/>
        </w:rPr>
      </w:pPr>
    </w:p>
    <w:p w14:paraId="3738A9C5" w14:textId="77777777" w:rsidR="00F45229" w:rsidRPr="00F45229" w:rsidRDefault="00F45229" w:rsidP="00F45229">
      <w:pPr>
        <w:pStyle w:val="BodyText"/>
        <w:spacing w:after="0" w:line="240" w:lineRule="auto"/>
        <w:rPr>
          <w:i/>
          <w:iCs/>
          <w:color w:val="000099"/>
          <w:sz w:val="16"/>
          <w:szCs w:val="16"/>
        </w:rPr>
      </w:pPr>
    </w:p>
    <w:p w14:paraId="13D5B16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08027C4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3. REMOVE MISSING VALUES</w:t>
      </w:r>
    </w:p>
    <w:p w14:paraId="62677A4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6CBBE21" w14:textId="77777777" w:rsidR="00F45229" w:rsidRPr="00F45229" w:rsidRDefault="00F45229" w:rsidP="00F45229">
      <w:pPr>
        <w:pStyle w:val="BodyText"/>
        <w:spacing w:after="0" w:line="240" w:lineRule="auto"/>
        <w:rPr>
          <w:i/>
          <w:iCs/>
          <w:color w:val="000099"/>
          <w:sz w:val="16"/>
          <w:szCs w:val="16"/>
        </w:rPr>
      </w:pPr>
    </w:p>
    <w:p w14:paraId="4149CFE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data &lt;- na.omit(data)</w:t>
      </w:r>
    </w:p>
    <w:p w14:paraId="47B8C70D" w14:textId="77777777" w:rsidR="00F45229" w:rsidRPr="00F45229" w:rsidRDefault="00F45229" w:rsidP="00F45229">
      <w:pPr>
        <w:pStyle w:val="BodyText"/>
        <w:spacing w:after="0" w:line="240" w:lineRule="auto"/>
        <w:rPr>
          <w:i/>
          <w:iCs/>
          <w:color w:val="000099"/>
          <w:sz w:val="16"/>
          <w:szCs w:val="16"/>
        </w:rPr>
      </w:pPr>
    </w:p>
    <w:p w14:paraId="16B90F2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dim(data)</w:t>
      </w:r>
    </w:p>
    <w:p w14:paraId="5487CF78" w14:textId="77777777" w:rsidR="00F45229" w:rsidRPr="00F45229" w:rsidRDefault="00F45229" w:rsidP="00F45229">
      <w:pPr>
        <w:pStyle w:val="BodyText"/>
        <w:spacing w:after="0" w:line="240" w:lineRule="auto"/>
        <w:rPr>
          <w:i/>
          <w:iCs/>
          <w:color w:val="000099"/>
          <w:sz w:val="16"/>
          <w:szCs w:val="16"/>
        </w:rPr>
      </w:pPr>
    </w:p>
    <w:p w14:paraId="792F092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table(data$status_death)</w:t>
      </w:r>
    </w:p>
    <w:p w14:paraId="1C801AB5" w14:textId="77777777" w:rsidR="00F45229" w:rsidRPr="00F45229" w:rsidRDefault="00F45229" w:rsidP="00F45229">
      <w:pPr>
        <w:pStyle w:val="BodyText"/>
        <w:spacing w:after="0" w:line="240" w:lineRule="auto"/>
        <w:rPr>
          <w:i/>
          <w:iCs/>
          <w:color w:val="000099"/>
          <w:sz w:val="16"/>
          <w:szCs w:val="16"/>
        </w:rPr>
      </w:pPr>
    </w:p>
    <w:p w14:paraId="798D41E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prop.table(table(data$status_death)) * 100</w:t>
      </w:r>
    </w:p>
    <w:p w14:paraId="3B273FCC" w14:textId="77777777" w:rsidR="00F45229" w:rsidRPr="00F45229" w:rsidRDefault="00F45229" w:rsidP="00F45229">
      <w:pPr>
        <w:pStyle w:val="BodyText"/>
        <w:spacing w:after="0" w:line="240" w:lineRule="auto"/>
        <w:rPr>
          <w:i/>
          <w:iCs/>
          <w:color w:val="000099"/>
          <w:sz w:val="16"/>
          <w:szCs w:val="16"/>
        </w:rPr>
      </w:pPr>
    </w:p>
    <w:p w14:paraId="6BC74428" w14:textId="77777777" w:rsidR="00F45229" w:rsidRPr="00F45229" w:rsidRDefault="00F45229" w:rsidP="00F45229">
      <w:pPr>
        <w:pStyle w:val="BodyText"/>
        <w:spacing w:after="0" w:line="240" w:lineRule="auto"/>
        <w:rPr>
          <w:i/>
          <w:iCs/>
          <w:color w:val="000099"/>
          <w:sz w:val="16"/>
          <w:szCs w:val="16"/>
        </w:rPr>
      </w:pPr>
    </w:p>
    <w:p w14:paraId="568EA49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94C609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4. CONVERT CATEGORICAL VARIABLES</w:t>
      </w:r>
    </w:p>
    <w:p w14:paraId="422140E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10C336BC" w14:textId="77777777" w:rsidR="00F45229" w:rsidRPr="00F45229" w:rsidRDefault="00F45229" w:rsidP="00F45229">
      <w:pPr>
        <w:pStyle w:val="BodyText"/>
        <w:spacing w:after="0" w:line="240" w:lineRule="auto"/>
        <w:rPr>
          <w:i/>
          <w:iCs/>
          <w:color w:val="000099"/>
          <w:sz w:val="16"/>
          <w:szCs w:val="16"/>
        </w:rPr>
      </w:pPr>
    </w:p>
    <w:p w14:paraId="2C177DD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data$trt &lt;- factor(</w:t>
      </w:r>
    </w:p>
    <w:p w14:paraId="1C43C67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data$trt,</w:t>
      </w:r>
    </w:p>
    <w:p w14:paraId="6F21E53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levels = c(1, 2),</w:t>
      </w:r>
    </w:p>
    <w:p w14:paraId="0263B0A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labels = c("Treatment 1", "Treatment 2")</w:t>
      </w:r>
    </w:p>
    <w:p w14:paraId="457D7EC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A75F016" w14:textId="77777777" w:rsidR="00F45229" w:rsidRPr="00F45229" w:rsidRDefault="00F45229" w:rsidP="00F45229">
      <w:pPr>
        <w:pStyle w:val="BodyText"/>
        <w:spacing w:after="0" w:line="240" w:lineRule="auto"/>
        <w:rPr>
          <w:i/>
          <w:iCs/>
          <w:color w:val="000099"/>
          <w:sz w:val="16"/>
          <w:szCs w:val="16"/>
        </w:rPr>
      </w:pPr>
    </w:p>
    <w:p w14:paraId="198871A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data$sex &lt;- factor(data$sex)</w:t>
      </w:r>
    </w:p>
    <w:p w14:paraId="227C0E39" w14:textId="77777777" w:rsidR="00F45229" w:rsidRPr="00F45229" w:rsidRDefault="00F45229" w:rsidP="00F45229">
      <w:pPr>
        <w:pStyle w:val="BodyText"/>
        <w:spacing w:after="0" w:line="240" w:lineRule="auto"/>
        <w:rPr>
          <w:i/>
          <w:iCs/>
          <w:color w:val="000099"/>
          <w:sz w:val="16"/>
          <w:szCs w:val="16"/>
        </w:rPr>
      </w:pPr>
    </w:p>
    <w:p w14:paraId="0C3A674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data$stage &lt;- factor(data$stage)</w:t>
      </w:r>
    </w:p>
    <w:p w14:paraId="37995FC5" w14:textId="77777777" w:rsidR="00F45229" w:rsidRPr="00F45229" w:rsidRDefault="00F45229" w:rsidP="00F45229">
      <w:pPr>
        <w:pStyle w:val="BodyText"/>
        <w:spacing w:after="0" w:line="240" w:lineRule="auto"/>
        <w:rPr>
          <w:i/>
          <w:iCs/>
          <w:color w:val="000099"/>
          <w:sz w:val="16"/>
          <w:szCs w:val="16"/>
        </w:rPr>
      </w:pPr>
    </w:p>
    <w:p w14:paraId="11FBD2E6" w14:textId="77777777" w:rsidR="00F45229" w:rsidRPr="00F45229" w:rsidRDefault="00F45229" w:rsidP="00F45229">
      <w:pPr>
        <w:pStyle w:val="BodyText"/>
        <w:spacing w:after="0" w:line="240" w:lineRule="auto"/>
        <w:rPr>
          <w:i/>
          <w:iCs/>
          <w:color w:val="000099"/>
          <w:sz w:val="16"/>
          <w:szCs w:val="16"/>
        </w:rPr>
      </w:pPr>
    </w:p>
    <w:p w14:paraId="04D67C3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368792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5. BASIC EXPLORATORY ANALYSIS</w:t>
      </w:r>
    </w:p>
    <w:p w14:paraId="49FD0DA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0C01D83A" w14:textId="77777777" w:rsidR="00F45229" w:rsidRPr="00F45229" w:rsidRDefault="00F45229" w:rsidP="00F45229">
      <w:pPr>
        <w:pStyle w:val="BodyText"/>
        <w:spacing w:after="0" w:line="240" w:lineRule="auto"/>
        <w:rPr>
          <w:i/>
          <w:iCs/>
          <w:color w:val="000099"/>
          <w:sz w:val="16"/>
          <w:szCs w:val="16"/>
        </w:rPr>
      </w:pPr>
    </w:p>
    <w:p w14:paraId="3DD0D5A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summary(data)</w:t>
      </w:r>
    </w:p>
    <w:p w14:paraId="0FA1446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par(mfrow=c(1,3))</w:t>
      </w:r>
    </w:p>
    <w:p w14:paraId="38CB04D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hist(</w:t>
      </w:r>
    </w:p>
    <w:p w14:paraId="5F8617A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data$age,</w:t>
      </w:r>
    </w:p>
    <w:p w14:paraId="36474B0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 = "Distribution of Age",</w:t>
      </w:r>
    </w:p>
    <w:p w14:paraId="6816E73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xlab = "Age",</w:t>
      </w:r>
    </w:p>
    <w:p w14:paraId="51B143B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breaks = 20</w:t>
      </w:r>
    </w:p>
    <w:p w14:paraId="187F53F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7C50312" w14:textId="77777777" w:rsidR="00F45229" w:rsidRPr="00F45229" w:rsidRDefault="00F45229" w:rsidP="00F45229">
      <w:pPr>
        <w:pStyle w:val="BodyText"/>
        <w:spacing w:after="0" w:line="240" w:lineRule="auto"/>
        <w:rPr>
          <w:i/>
          <w:iCs/>
          <w:color w:val="000099"/>
          <w:sz w:val="16"/>
          <w:szCs w:val="16"/>
        </w:rPr>
      </w:pPr>
    </w:p>
    <w:p w14:paraId="0C13A94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hist(</w:t>
      </w:r>
    </w:p>
    <w:p w14:paraId="6952A7B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data$bili,</w:t>
      </w:r>
    </w:p>
    <w:p w14:paraId="22F81E6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 = "Distribution of Bilirubin",</w:t>
      </w:r>
    </w:p>
    <w:p w14:paraId="23B2F48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xlab = "Bilirubin",</w:t>
      </w:r>
    </w:p>
    <w:p w14:paraId="235B2E0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breaks = 20</w:t>
      </w:r>
    </w:p>
    <w:p w14:paraId="7C02176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74918EB" w14:textId="77777777" w:rsidR="00F45229" w:rsidRPr="00F45229" w:rsidRDefault="00F45229" w:rsidP="00F45229">
      <w:pPr>
        <w:pStyle w:val="BodyText"/>
        <w:spacing w:after="0" w:line="240" w:lineRule="auto"/>
        <w:rPr>
          <w:i/>
          <w:iCs/>
          <w:color w:val="000099"/>
          <w:sz w:val="16"/>
          <w:szCs w:val="16"/>
        </w:rPr>
      </w:pPr>
    </w:p>
    <w:p w14:paraId="4A4DE04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hist(</w:t>
      </w:r>
    </w:p>
    <w:p w14:paraId="28A2468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data$albumin,</w:t>
      </w:r>
    </w:p>
    <w:p w14:paraId="7478AC7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 = "Distribution of Albumin",</w:t>
      </w:r>
    </w:p>
    <w:p w14:paraId="547D41F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xlab = "Albumin",</w:t>
      </w:r>
    </w:p>
    <w:p w14:paraId="6459BBB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breaks = 20</w:t>
      </w:r>
    </w:p>
    <w:p w14:paraId="61831A6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D996AE3" w14:textId="77777777" w:rsidR="00F45229" w:rsidRPr="00F45229" w:rsidRDefault="00F45229" w:rsidP="00F45229">
      <w:pPr>
        <w:pStyle w:val="BodyText"/>
        <w:spacing w:after="0" w:line="240" w:lineRule="auto"/>
        <w:rPr>
          <w:i/>
          <w:iCs/>
          <w:color w:val="000099"/>
          <w:sz w:val="16"/>
          <w:szCs w:val="16"/>
        </w:rPr>
      </w:pPr>
    </w:p>
    <w:p w14:paraId="01A67583" w14:textId="77777777" w:rsidR="00F45229" w:rsidRPr="00F45229" w:rsidRDefault="00F45229" w:rsidP="00F45229">
      <w:pPr>
        <w:pStyle w:val="BodyText"/>
        <w:spacing w:after="0" w:line="240" w:lineRule="auto"/>
        <w:rPr>
          <w:i/>
          <w:iCs/>
          <w:color w:val="000099"/>
          <w:sz w:val="16"/>
          <w:szCs w:val="16"/>
        </w:rPr>
      </w:pPr>
    </w:p>
    <w:p w14:paraId="69F6DD8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E9E8EE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6. SURVIVAL OBJECT</w:t>
      </w:r>
    </w:p>
    <w:p w14:paraId="63DD95C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46C6D26C" w14:textId="77777777" w:rsidR="00F45229" w:rsidRPr="00F45229" w:rsidRDefault="00F45229" w:rsidP="00F45229">
      <w:pPr>
        <w:pStyle w:val="BodyText"/>
        <w:spacing w:after="0" w:line="240" w:lineRule="auto"/>
        <w:rPr>
          <w:i/>
          <w:iCs/>
          <w:color w:val="000099"/>
          <w:sz w:val="16"/>
          <w:szCs w:val="16"/>
        </w:rPr>
      </w:pPr>
    </w:p>
    <w:p w14:paraId="548353B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surv_object &lt;- Surv(</w:t>
      </w:r>
    </w:p>
    <w:p w14:paraId="4D30B06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data$time,</w:t>
      </w:r>
    </w:p>
    <w:p w14:paraId="5FEC86C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data$status_death</w:t>
      </w:r>
    </w:p>
    <w:p w14:paraId="0FFC84C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57F5887" w14:textId="77777777" w:rsidR="00F45229" w:rsidRPr="00F45229" w:rsidRDefault="00F45229" w:rsidP="00F45229">
      <w:pPr>
        <w:pStyle w:val="BodyText"/>
        <w:spacing w:after="0" w:line="240" w:lineRule="auto"/>
        <w:rPr>
          <w:i/>
          <w:iCs/>
          <w:color w:val="000099"/>
          <w:sz w:val="16"/>
          <w:szCs w:val="16"/>
        </w:rPr>
      </w:pPr>
    </w:p>
    <w:p w14:paraId="61742BC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head(surv_object)</w:t>
      </w:r>
    </w:p>
    <w:p w14:paraId="40BF567E" w14:textId="77777777" w:rsidR="00F45229" w:rsidRPr="00F45229" w:rsidRDefault="00F45229" w:rsidP="00F45229">
      <w:pPr>
        <w:pStyle w:val="BodyText"/>
        <w:spacing w:after="0" w:line="240" w:lineRule="auto"/>
        <w:rPr>
          <w:i/>
          <w:iCs/>
          <w:color w:val="000099"/>
          <w:sz w:val="16"/>
          <w:szCs w:val="16"/>
        </w:rPr>
      </w:pPr>
    </w:p>
    <w:p w14:paraId="0765EF47" w14:textId="77777777" w:rsidR="00F45229" w:rsidRPr="00F45229" w:rsidRDefault="00F45229" w:rsidP="00F45229">
      <w:pPr>
        <w:pStyle w:val="BodyText"/>
        <w:spacing w:after="0" w:line="240" w:lineRule="auto"/>
        <w:rPr>
          <w:i/>
          <w:iCs/>
          <w:color w:val="000099"/>
          <w:sz w:val="16"/>
          <w:szCs w:val="16"/>
        </w:rPr>
      </w:pPr>
    </w:p>
    <w:p w14:paraId="6C991F8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495C5D3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7. OVERALL KAPLAN-MEIER ANALYSIS</w:t>
      </w:r>
    </w:p>
    <w:p w14:paraId="777187C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597209D2" w14:textId="77777777" w:rsidR="00F45229" w:rsidRPr="00F45229" w:rsidRDefault="00F45229" w:rsidP="00F45229">
      <w:pPr>
        <w:pStyle w:val="BodyText"/>
        <w:spacing w:after="0" w:line="240" w:lineRule="auto"/>
        <w:rPr>
          <w:i/>
          <w:iCs/>
          <w:color w:val="000099"/>
          <w:sz w:val="16"/>
          <w:szCs w:val="16"/>
        </w:rPr>
      </w:pPr>
    </w:p>
    <w:p w14:paraId="06EFB04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km_fit &lt;- survfit(</w:t>
      </w:r>
    </w:p>
    <w:p w14:paraId="344B733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surv_object ~ 1,</w:t>
      </w:r>
    </w:p>
    <w:p w14:paraId="4D8F8E0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 = data</w:t>
      </w:r>
    </w:p>
    <w:p w14:paraId="17493B6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F77A39F" w14:textId="77777777" w:rsidR="00F45229" w:rsidRPr="00F45229" w:rsidRDefault="00F45229" w:rsidP="00F45229">
      <w:pPr>
        <w:pStyle w:val="BodyText"/>
        <w:spacing w:after="0" w:line="240" w:lineRule="auto"/>
        <w:rPr>
          <w:i/>
          <w:iCs/>
          <w:color w:val="000099"/>
          <w:sz w:val="16"/>
          <w:szCs w:val="16"/>
        </w:rPr>
      </w:pPr>
    </w:p>
    <w:p w14:paraId="5BCCEB1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summary(km_fit)</w:t>
      </w:r>
    </w:p>
    <w:p w14:paraId="5F64CE84" w14:textId="77777777" w:rsidR="00F45229" w:rsidRPr="00F45229" w:rsidRDefault="00F45229" w:rsidP="00F45229">
      <w:pPr>
        <w:pStyle w:val="BodyText"/>
        <w:spacing w:after="0" w:line="240" w:lineRule="auto"/>
        <w:rPr>
          <w:i/>
          <w:iCs/>
          <w:color w:val="000099"/>
          <w:sz w:val="16"/>
          <w:szCs w:val="16"/>
        </w:rPr>
      </w:pPr>
    </w:p>
    <w:p w14:paraId="3953780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Median survival</w:t>
      </w:r>
    </w:p>
    <w:p w14:paraId="5230180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km_fit$table</w:t>
      </w:r>
    </w:p>
    <w:p w14:paraId="1A16B7EF" w14:textId="77777777" w:rsidR="00F45229" w:rsidRPr="00F45229" w:rsidRDefault="00F45229" w:rsidP="00F45229">
      <w:pPr>
        <w:pStyle w:val="BodyText"/>
        <w:spacing w:after="0" w:line="240" w:lineRule="auto"/>
        <w:rPr>
          <w:i/>
          <w:iCs/>
          <w:color w:val="000099"/>
          <w:sz w:val="16"/>
          <w:szCs w:val="16"/>
        </w:rPr>
      </w:pPr>
    </w:p>
    <w:p w14:paraId="749B1B2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Kaplan-Meier plot</w:t>
      </w:r>
    </w:p>
    <w:p w14:paraId="7D6E4E8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plot(</w:t>
      </w:r>
    </w:p>
    <w:p w14:paraId="0BC7B8D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km_fit,</w:t>
      </w:r>
    </w:p>
    <w:p w14:paraId="0809AB5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 = "Kaplan-Meier Survival Curve",</w:t>
      </w:r>
    </w:p>
    <w:p w14:paraId="75FF607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xlab = "Time (days)",</w:t>
      </w:r>
    </w:p>
    <w:p w14:paraId="61251EC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ylab = "Survival Probability",</w:t>
      </w:r>
    </w:p>
    <w:p w14:paraId="681ABF3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conf.int = TRUE,</w:t>
      </w:r>
    </w:p>
    <w:p w14:paraId="6527662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mark.time = TRUE</w:t>
      </w:r>
    </w:p>
    <w:p w14:paraId="338765C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C574054" w14:textId="77777777" w:rsidR="00F45229" w:rsidRPr="00F45229" w:rsidRDefault="00F45229" w:rsidP="00F45229">
      <w:pPr>
        <w:pStyle w:val="BodyText"/>
        <w:spacing w:after="0" w:line="240" w:lineRule="auto"/>
        <w:rPr>
          <w:i/>
          <w:iCs/>
          <w:color w:val="000099"/>
          <w:sz w:val="16"/>
          <w:szCs w:val="16"/>
        </w:rPr>
      </w:pPr>
    </w:p>
    <w:p w14:paraId="6A4BBE9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grid()</w:t>
      </w:r>
    </w:p>
    <w:p w14:paraId="76DB8C3B" w14:textId="77777777" w:rsidR="00F45229" w:rsidRPr="00F45229" w:rsidRDefault="00F45229" w:rsidP="00F45229">
      <w:pPr>
        <w:pStyle w:val="BodyText"/>
        <w:spacing w:after="0" w:line="240" w:lineRule="auto"/>
        <w:rPr>
          <w:i/>
          <w:iCs/>
          <w:color w:val="000099"/>
          <w:sz w:val="16"/>
          <w:szCs w:val="16"/>
        </w:rPr>
      </w:pPr>
    </w:p>
    <w:p w14:paraId="5F9FAA6B" w14:textId="77777777" w:rsidR="00F45229" w:rsidRPr="00F45229" w:rsidRDefault="00F45229" w:rsidP="00F45229">
      <w:pPr>
        <w:pStyle w:val="BodyText"/>
        <w:spacing w:after="0" w:line="240" w:lineRule="auto"/>
        <w:rPr>
          <w:i/>
          <w:iCs/>
          <w:color w:val="000099"/>
          <w:sz w:val="16"/>
          <w:szCs w:val="16"/>
        </w:rPr>
      </w:pPr>
    </w:p>
    <w:p w14:paraId="0B59B5C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0BA00E4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8. SURVIVAL BY TREATMENT</w:t>
      </w:r>
    </w:p>
    <w:p w14:paraId="16518CD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lastRenderedPageBreak/>
        <w:t># ============================================================</w:t>
      </w:r>
    </w:p>
    <w:p w14:paraId="51951163" w14:textId="77777777" w:rsidR="00F45229" w:rsidRPr="00F45229" w:rsidRDefault="00F45229" w:rsidP="00F45229">
      <w:pPr>
        <w:pStyle w:val="BodyText"/>
        <w:spacing w:after="0" w:line="240" w:lineRule="auto"/>
        <w:rPr>
          <w:i/>
          <w:iCs/>
          <w:color w:val="000099"/>
          <w:sz w:val="16"/>
          <w:szCs w:val="16"/>
        </w:rPr>
      </w:pPr>
    </w:p>
    <w:p w14:paraId="5EC8D16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km_trt &lt;- survfit(</w:t>
      </w:r>
    </w:p>
    <w:p w14:paraId="5916B02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Surv(time, status_death) ~ trt,</w:t>
      </w:r>
    </w:p>
    <w:p w14:paraId="5671213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 = data</w:t>
      </w:r>
    </w:p>
    <w:p w14:paraId="4D14DCC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346794CB" w14:textId="77777777" w:rsidR="00F45229" w:rsidRPr="00F45229" w:rsidRDefault="00F45229" w:rsidP="00F45229">
      <w:pPr>
        <w:pStyle w:val="BodyText"/>
        <w:spacing w:after="0" w:line="240" w:lineRule="auto"/>
        <w:rPr>
          <w:i/>
          <w:iCs/>
          <w:color w:val="000099"/>
          <w:sz w:val="16"/>
          <w:szCs w:val="16"/>
        </w:rPr>
      </w:pPr>
    </w:p>
    <w:p w14:paraId="04C3EDF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summary(km_trt)</w:t>
      </w:r>
    </w:p>
    <w:p w14:paraId="6B8BE0E2" w14:textId="77777777" w:rsidR="00F45229" w:rsidRPr="00F45229" w:rsidRDefault="00F45229" w:rsidP="00F45229">
      <w:pPr>
        <w:pStyle w:val="BodyText"/>
        <w:spacing w:after="0" w:line="240" w:lineRule="auto"/>
        <w:rPr>
          <w:i/>
          <w:iCs/>
          <w:color w:val="000099"/>
          <w:sz w:val="16"/>
          <w:szCs w:val="16"/>
        </w:rPr>
      </w:pPr>
    </w:p>
    <w:p w14:paraId="703F2FF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plot(</w:t>
      </w:r>
    </w:p>
    <w:p w14:paraId="432100B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km_trt,</w:t>
      </w:r>
    </w:p>
    <w:p w14:paraId="64250D1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col = 1:2,</w:t>
      </w:r>
    </w:p>
    <w:p w14:paraId="7C736C4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lwd = 2,</w:t>
      </w:r>
    </w:p>
    <w:p w14:paraId="730D48C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 = "Kaplan-Meier Survival by Treatment",</w:t>
      </w:r>
    </w:p>
    <w:p w14:paraId="5FAE505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xlab = "Time (days)",</w:t>
      </w:r>
    </w:p>
    <w:p w14:paraId="3D4DD7A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ylab = "Survival Probability",</w:t>
      </w:r>
    </w:p>
    <w:p w14:paraId="6E57E42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conf.int = TRUE</w:t>
      </w:r>
    </w:p>
    <w:p w14:paraId="3CD8CA5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3D75687" w14:textId="77777777" w:rsidR="00F45229" w:rsidRPr="00F45229" w:rsidRDefault="00F45229" w:rsidP="00F45229">
      <w:pPr>
        <w:pStyle w:val="BodyText"/>
        <w:spacing w:after="0" w:line="240" w:lineRule="auto"/>
        <w:rPr>
          <w:i/>
          <w:iCs/>
          <w:color w:val="000099"/>
          <w:sz w:val="16"/>
          <w:szCs w:val="16"/>
        </w:rPr>
      </w:pPr>
    </w:p>
    <w:p w14:paraId="571F5A9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legend(</w:t>
      </w:r>
    </w:p>
    <w:p w14:paraId="68E38C7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"topright",</w:t>
      </w:r>
    </w:p>
    <w:p w14:paraId="7C90150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legend = levels(data$trt),</w:t>
      </w:r>
    </w:p>
    <w:p w14:paraId="3E84AEE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col = 1:2,</w:t>
      </w:r>
    </w:p>
    <w:p w14:paraId="03368E4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lwd = 2</w:t>
      </w:r>
    </w:p>
    <w:p w14:paraId="5EFD737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3C437A1E" w14:textId="77777777" w:rsidR="00F45229" w:rsidRPr="00F45229" w:rsidRDefault="00F45229" w:rsidP="00F45229">
      <w:pPr>
        <w:pStyle w:val="BodyText"/>
        <w:spacing w:after="0" w:line="240" w:lineRule="auto"/>
        <w:rPr>
          <w:i/>
          <w:iCs/>
          <w:color w:val="000099"/>
          <w:sz w:val="16"/>
          <w:szCs w:val="16"/>
        </w:rPr>
      </w:pPr>
    </w:p>
    <w:p w14:paraId="03B0B23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grid()</w:t>
      </w:r>
    </w:p>
    <w:p w14:paraId="2CB25967" w14:textId="77777777" w:rsidR="00F45229" w:rsidRPr="00F45229" w:rsidRDefault="00F45229" w:rsidP="00F45229">
      <w:pPr>
        <w:pStyle w:val="BodyText"/>
        <w:spacing w:after="0" w:line="240" w:lineRule="auto"/>
        <w:rPr>
          <w:i/>
          <w:iCs/>
          <w:color w:val="000099"/>
          <w:sz w:val="16"/>
          <w:szCs w:val="16"/>
        </w:rPr>
      </w:pPr>
    </w:p>
    <w:p w14:paraId="511C8155" w14:textId="77777777" w:rsidR="00F45229" w:rsidRPr="00F45229" w:rsidRDefault="00F45229" w:rsidP="00F45229">
      <w:pPr>
        <w:pStyle w:val="BodyText"/>
        <w:spacing w:after="0" w:line="240" w:lineRule="auto"/>
        <w:rPr>
          <w:i/>
          <w:iCs/>
          <w:color w:val="000099"/>
          <w:sz w:val="16"/>
          <w:szCs w:val="16"/>
        </w:rPr>
      </w:pPr>
    </w:p>
    <w:p w14:paraId="4D9A8D9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D35DEE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9. LOG-RANK TEST: TREATMENT</w:t>
      </w:r>
    </w:p>
    <w:p w14:paraId="56B4F49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77195425" w14:textId="77777777" w:rsidR="00F45229" w:rsidRPr="00F45229" w:rsidRDefault="00F45229" w:rsidP="00F45229">
      <w:pPr>
        <w:pStyle w:val="BodyText"/>
        <w:spacing w:after="0" w:line="240" w:lineRule="auto"/>
        <w:rPr>
          <w:i/>
          <w:iCs/>
          <w:color w:val="000099"/>
          <w:sz w:val="16"/>
          <w:szCs w:val="16"/>
        </w:rPr>
      </w:pPr>
    </w:p>
    <w:p w14:paraId="21BE0E3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logrank_trt &lt;- survdiff(</w:t>
      </w:r>
    </w:p>
    <w:p w14:paraId="1334611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Surv(time, status_death) ~ trt,</w:t>
      </w:r>
    </w:p>
    <w:p w14:paraId="5B7CCA8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 = data</w:t>
      </w:r>
    </w:p>
    <w:p w14:paraId="5D717DF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5FA7B64" w14:textId="77777777" w:rsidR="00F45229" w:rsidRPr="00F45229" w:rsidRDefault="00F45229" w:rsidP="00F45229">
      <w:pPr>
        <w:pStyle w:val="BodyText"/>
        <w:spacing w:after="0" w:line="240" w:lineRule="auto"/>
        <w:rPr>
          <w:i/>
          <w:iCs/>
          <w:color w:val="000099"/>
          <w:sz w:val="16"/>
          <w:szCs w:val="16"/>
        </w:rPr>
      </w:pPr>
    </w:p>
    <w:p w14:paraId="555CA58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print(logrank_trt)</w:t>
      </w:r>
    </w:p>
    <w:p w14:paraId="5E475C6C" w14:textId="77777777" w:rsidR="00F45229" w:rsidRPr="00F45229" w:rsidRDefault="00F45229" w:rsidP="00F45229">
      <w:pPr>
        <w:pStyle w:val="BodyText"/>
        <w:spacing w:after="0" w:line="240" w:lineRule="auto"/>
        <w:rPr>
          <w:i/>
          <w:iCs/>
          <w:color w:val="000099"/>
          <w:sz w:val="16"/>
          <w:szCs w:val="16"/>
        </w:rPr>
      </w:pPr>
    </w:p>
    <w:p w14:paraId="72B18B6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p_trt &lt;- 1 - pchisq(</w:t>
      </w:r>
    </w:p>
    <w:p w14:paraId="203DC50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logrank_trt$chisq,</w:t>
      </w:r>
    </w:p>
    <w:p w14:paraId="7CBCC33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df = length(logrank_trt$n) - 1</w:t>
      </w:r>
    </w:p>
    <w:p w14:paraId="7099B96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546A3C52" w14:textId="77777777" w:rsidR="00F45229" w:rsidRPr="00F45229" w:rsidRDefault="00F45229" w:rsidP="00F45229">
      <w:pPr>
        <w:pStyle w:val="BodyText"/>
        <w:spacing w:after="0" w:line="240" w:lineRule="auto"/>
        <w:rPr>
          <w:i/>
          <w:iCs/>
          <w:color w:val="000099"/>
          <w:sz w:val="16"/>
          <w:szCs w:val="16"/>
        </w:rPr>
      </w:pPr>
    </w:p>
    <w:p w14:paraId="0A98ED8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cat("Treatment log-rank p-value =", p_trt, "\n")</w:t>
      </w:r>
    </w:p>
    <w:p w14:paraId="27DD48C8" w14:textId="77777777" w:rsidR="00F45229" w:rsidRPr="00F45229" w:rsidRDefault="00F45229" w:rsidP="00F45229">
      <w:pPr>
        <w:pStyle w:val="BodyText"/>
        <w:spacing w:after="0" w:line="240" w:lineRule="auto"/>
        <w:rPr>
          <w:i/>
          <w:iCs/>
          <w:color w:val="000099"/>
          <w:sz w:val="16"/>
          <w:szCs w:val="16"/>
        </w:rPr>
      </w:pPr>
    </w:p>
    <w:p w14:paraId="6F3DFA58" w14:textId="77777777" w:rsidR="00F45229" w:rsidRPr="00F45229" w:rsidRDefault="00F45229" w:rsidP="00F45229">
      <w:pPr>
        <w:pStyle w:val="BodyText"/>
        <w:spacing w:after="0" w:line="240" w:lineRule="auto"/>
        <w:rPr>
          <w:i/>
          <w:iCs/>
          <w:color w:val="000099"/>
          <w:sz w:val="16"/>
          <w:szCs w:val="16"/>
        </w:rPr>
      </w:pPr>
    </w:p>
    <w:p w14:paraId="37B9EC1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72A229C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10. SURVIVAL BY SEX</w:t>
      </w:r>
    </w:p>
    <w:p w14:paraId="522AB7A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4BD53ACB" w14:textId="77777777" w:rsidR="00F45229" w:rsidRPr="00F45229" w:rsidRDefault="00F45229" w:rsidP="00F45229">
      <w:pPr>
        <w:pStyle w:val="BodyText"/>
        <w:spacing w:after="0" w:line="240" w:lineRule="auto"/>
        <w:rPr>
          <w:i/>
          <w:iCs/>
          <w:color w:val="000099"/>
          <w:sz w:val="16"/>
          <w:szCs w:val="16"/>
        </w:rPr>
      </w:pPr>
    </w:p>
    <w:p w14:paraId="4E3D5A8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km_sex &lt;- survfit(</w:t>
      </w:r>
    </w:p>
    <w:p w14:paraId="22C6021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Surv(time, status_death) ~ sex,</w:t>
      </w:r>
    </w:p>
    <w:p w14:paraId="214C316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 = data</w:t>
      </w:r>
    </w:p>
    <w:p w14:paraId="030F597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EE6F98C" w14:textId="77777777" w:rsidR="00F45229" w:rsidRPr="00F45229" w:rsidRDefault="00F45229" w:rsidP="00F45229">
      <w:pPr>
        <w:pStyle w:val="BodyText"/>
        <w:spacing w:after="0" w:line="240" w:lineRule="auto"/>
        <w:rPr>
          <w:i/>
          <w:iCs/>
          <w:color w:val="000099"/>
          <w:sz w:val="16"/>
          <w:szCs w:val="16"/>
        </w:rPr>
      </w:pPr>
    </w:p>
    <w:p w14:paraId="7E00643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plot(</w:t>
      </w:r>
    </w:p>
    <w:p w14:paraId="7011D2E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km_sex,</w:t>
      </w:r>
    </w:p>
    <w:p w14:paraId="76D5771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col = 1:length(levels(data$sex)),</w:t>
      </w:r>
    </w:p>
    <w:p w14:paraId="7646484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lwd = 2,</w:t>
      </w:r>
    </w:p>
    <w:p w14:paraId="014EC78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 = "Kaplan-Meier Survival by Sex",</w:t>
      </w:r>
    </w:p>
    <w:p w14:paraId="464A08E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xlab = "Time (days)",</w:t>
      </w:r>
    </w:p>
    <w:p w14:paraId="21450F0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ylab = "Survival Probability",</w:t>
      </w:r>
    </w:p>
    <w:p w14:paraId="715DE41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conf.int = TRUE</w:t>
      </w:r>
    </w:p>
    <w:p w14:paraId="3A0540A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68EBE01" w14:textId="77777777" w:rsidR="00F45229" w:rsidRPr="00F45229" w:rsidRDefault="00F45229" w:rsidP="00F45229">
      <w:pPr>
        <w:pStyle w:val="BodyText"/>
        <w:spacing w:after="0" w:line="240" w:lineRule="auto"/>
        <w:rPr>
          <w:i/>
          <w:iCs/>
          <w:color w:val="000099"/>
          <w:sz w:val="16"/>
          <w:szCs w:val="16"/>
        </w:rPr>
      </w:pPr>
    </w:p>
    <w:p w14:paraId="5D1C1D0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legend(</w:t>
      </w:r>
    </w:p>
    <w:p w14:paraId="1A93831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"topright",</w:t>
      </w:r>
    </w:p>
    <w:p w14:paraId="2819F85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legend = levels(data$sex),</w:t>
      </w:r>
    </w:p>
    <w:p w14:paraId="0759887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col = 1:length(levels(data$sex)),</w:t>
      </w:r>
    </w:p>
    <w:p w14:paraId="10D4E2B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lwd = 2</w:t>
      </w:r>
    </w:p>
    <w:p w14:paraId="5209999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5556D26F" w14:textId="77777777" w:rsidR="00F45229" w:rsidRPr="00F45229" w:rsidRDefault="00F45229" w:rsidP="00F45229">
      <w:pPr>
        <w:pStyle w:val="BodyText"/>
        <w:spacing w:after="0" w:line="240" w:lineRule="auto"/>
        <w:rPr>
          <w:i/>
          <w:iCs/>
          <w:color w:val="000099"/>
          <w:sz w:val="16"/>
          <w:szCs w:val="16"/>
        </w:rPr>
      </w:pPr>
    </w:p>
    <w:p w14:paraId="7ED3C13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grid()</w:t>
      </w:r>
    </w:p>
    <w:p w14:paraId="1CA85378" w14:textId="77777777" w:rsidR="00F45229" w:rsidRPr="00F45229" w:rsidRDefault="00F45229" w:rsidP="00F45229">
      <w:pPr>
        <w:pStyle w:val="BodyText"/>
        <w:spacing w:after="0" w:line="240" w:lineRule="auto"/>
        <w:rPr>
          <w:i/>
          <w:iCs/>
          <w:color w:val="000099"/>
          <w:sz w:val="16"/>
          <w:szCs w:val="16"/>
        </w:rPr>
      </w:pPr>
    </w:p>
    <w:p w14:paraId="0096D912" w14:textId="77777777" w:rsidR="00F45229" w:rsidRPr="00F45229" w:rsidRDefault="00F45229" w:rsidP="00F45229">
      <w:pPr>
        <w:pStyle w:val="BodyText"/>
        <w:spacing w:after="0" w:line="240" w:lineRule="auto"/>
        <w:rPr>
          <w:i/>
          <w:iCs/>
          <w:color w:val="000099"/>
          <w:sz w:val="16"/>
          <w:szCs w:val="16"/>
        </w:rPr>
      </w:pPr>
    </w:p>
    <w:p w14:paraId="36123D0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74BC76A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11. LOG-RANK TEST: SEX</w:t>
      </w:r>
    </w:p>
    <w:p w14:paraId="7D200D8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51B3C471" w14:textId="77777777" w:rsidR="00F45229" w:rsidRPr="00F45229" w:rsidRDefault="00F45229" w:rsidP="00F45229">
      <w:pPr>
        <w:pStyle w:val="BodyText"/>
        <w:spacing w:after="0" w:line="240" w:lineRule="auto"/>
        <w:rPr>
          <w:i/>
          <w:iCs/>
          <w:color w:val="000099"/>
          <w:sz w:val="16"/>
          <w:szCs w:val="16"/>
        </w:rPr>
      </w:pPr>
    </w:p>
    <w:p w14:paraId="7883F92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logrank_sex &lt;- survdiff(</w:t>
      </w:r>
    </w:p>
    <w:p w14:paraId="79F9CEF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Surv(time, status_death) ~ sex,</w:t>
      </w:r>
    </w:p>
    <w:p w14:paraId="7F85C15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 = data</w:t>
      </w:r>
    </w:p>
    <w:p w14:paraId="4957A1F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41EE5056" w14:textId="77777777" w:rsidR="00F45229" w:rsidRPr="00F45229" w:rsidRDefault="00F45229" w:rsidP="00F45229">
      <w:pPr>
        <w:pStyle w:val="BodyText"/>
        <w:spacing w:after="0" w:line="240" w:lineRule="auto"/>
        <w:rPr>
          <w:i/>
          <w:iCs/>
          <w:color w:val="000099"/>
          <w:sz w:val="16"/>
          <w:szCs w:val="16"/>
        </w:rPr>
      </w:pPr>
    </w:p>
    <w:p w14:paraId="6E8CBC8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print(logrank_sex)</w:t>
      </w:r>
    </w:p>
    <w:p w14:paraId="28292CE2" w14:textId="77777777" w:rsidR="00F45229" w:rsidRPr="00F45229" w:rsidRDefault="00F45229" w:rsidP="00F45229">
      <w:pPr>
        <w:pStyle w:val="BodyText"/>
        <w:spacing w:after="0" w:line="240" w:lineRule="auto"/>
        <w:rPr>
          <w:i/>
          <w:iCs/>
          <w:color w:val="000099"/>
          <w:sz w:val="16"/>
          <w:szCs w:val="16"/>
        </w:rPr>
      </w:pPr>
    </w:p>
    <w:p w14:paraId="4EABA99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p_sex &lt;- 1 - pchisq(</w:t>
      </w:r>
    </w:p>
    <w:p w14:paraId="2A96481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logrank_sex$chisq,</w:t>
      </w:r>
    </w:p>
    <w:p w14:paraId="6257AD2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df = length(logrank_sex$n) - 1</w:t>
      </w:r>
    </w:p>
    <w:p w14:paraId="589BCB5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BD41487" w14:textId="77777777" w:rsidR="00F45229" w:rsidRPr="00F45229" w:rsidRDefault="00F45229" w:rsidP="00F45229">
      <w:pPr>
        <w:pStyle w:val="BodyText"/>
        <w:spacing w:after="0" w:line="240" w:lineRule="auto"/>
        <w:rPr>
          <w:i/>
          <w:iCs/>
          <w:color w:val="000099"/>
          <w:sz w:val="16"/>
          <w:szCs w:val="16"/>
        </w:rPr>
      </w:pPr>
    </w:p>
    <w:p w14:paraId="4224760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cat("Sex log-rank p-value =", p_sex, "\n")</w:t>
      </w:r>
    </w:p>
    <w:p w14:paraId="0BD0D578" w14:textId="77777777" w:rsidR="00F45229" w:rsidRPr="00F45229" w:rsidRDefault="00F45229" w:rsidP="00F45229">
      <w:pPr>
        <w:pStyle w:val="BodyText"/>
        <w:spacing w:after="0" w:line="240" w:lineRule="auto"/>
        <w:rPr>
          <w:i/>
          <w:iCs/>
          <w:color w:val="000099"/>
          <w:sz w:val="16"/>
          <w:szCs w:val="16"/>
        </w:rPr>
      </w:pPr>
    </w:p>
    <w:p w14:paraId="659A17C9" w14:textId="77777777" w:rsidR="00F45229" w:rsidRPr="00F45229" w:rsidRDefault="00F45229" w:rsidP="00F45229">
      <w:pPr>
        <w:pStyle w:val="BodyText"/>
        <w:spacing w:after="0" w:line="240" w:lineRule="auto"/>
        <w:rPr>
          <w:i/>
          <w:iCs/>
          <w:color w:val="000099"/>
          <w:sz w:val="16"/>
          <w:szCs w:val="16"/>
        </w:rPr>
      </w:pPr>
    </w:p>
    <w:p w14:paraId="638F66E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0F6B0FC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12. SURVIVAL BY DISEASE STAGE</w:t>
      </w:r>
    </w:p>
    <w:p w14:paraId="1947E0D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75895266" w14:textId="77777777" w:rsidR="00F45229" w:rsidRPr="00F45229" w:rsidRDefault="00F45229" w:rsidP="00F45229">
      <w:pPr>
        <w:pStyle w:val="BodyText"/>
        <w:spacing w:after="0" w:line="240" w:lineRule="auto"/>
        <w:rPr>
          <w:i/>
          <w:iCs/>
          <w:color w:val="000099"/>
          <w:sz w:val="16"/>
          <w:szCs w:val="16"/>
        </w:rPr>
      </w:pPr>
    </w:p>
    <w:p w14:paraId="302AF90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km_stage &lt;- survfit(</w:t>
      </w:r>
    </w:p>
    <w:p w14:paraId="7BA089F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Surv(time, status_death) ~ stage,</w:t>
      </w:r>
    </w:p>
    <w:p w14:paraId="58DA7FD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 = data</w:t>
      </w:r>
    </w:p>
    <w:p w14:paraId="5166EED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4E472A2" w14:textId="77777777" w:rsidR="00F45229" w:rsidRPr="00F45229" w:rsidRDefault="00F45229" w:rsidP="00F45229">
      <w:pPr>
        <w:pStyle w:val="BodyText"/>
        <w:spacing w:after="0" w:line="240" w:lineRule="auto"/>
        <w:rPr>
          <w:i/>
          <w:iCs/>
          <w:color w:val="000099"/>
          <w:sz w:val="16"/>
          <w:szCs w:val="16"/>
        </w:rPr>
      </w:pPr>
    </w:p>
    <w:p w14:paraId="7B0E9F3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plot(</w:t>
      </w:r>
    </w:p>
    <w:p w14:paraId="7AFF169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km_stage,</w:t>
      </w:r>
    </w:p>
    <w:p w14:paraId="271354D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col = 1:length(levels(data$stage)),</w:t>
      </w:r>
    </w:p>
    <w:p w14:paraId="2BAA5A7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lwd = 2,</w:t>
      </w:r>
    </w:p>
    <w:p w14:paraId="415CDD4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 = "Kaplan-Meier Survival by Disease Stage",</w:t>
      </w:r>
    </w:p>
    <w:p w14:paraId="22A184B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xlab = "Time (days)",</w:t>
      </w:r>
    </w:p>
    <w:p w14:paraId="296C785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ylab = "Survival Probability",</w:t>
      </w:r>
    </w:p>
    <w:p w14:paraId="41511C4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conf.int = FALSE</w:t>
      </w:r>
    </w:p>
    <w:p w14:paraId="5FB6FA5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09AE523E" w14:textId="77777777" w:rsidR="00F45229" w:rsidRPr="00F45229" w:rsidRDefault="00F45229" w:rsidP="00F45229">
      <w:pPr>
        <w:pStyle w:val="BodyText"/>
        <w:spacing w:after="0" w:line="240" w:lineRule="auto"/>
        <w:rPr>
          <w:i/>
          <w:iCs/>
          <w:color w:val="000099"/>
          <w:sz w:val="16"/>
          <w:szCs w:val="16"/>
        </w:rPr>
      </w:pPr>
    </w:p>
    <w:p w14:paraId="7F95D34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legend(</w:t>
      </w:r>
    </w:p>
    <w:p w14:paraId="31D8862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"topright",</w:t>
      </w:r>
    </w:p>
    <w:p w14:paraId="5A9F0A7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legend = levels(data$stage),</w:t>
      </w:r>
    </w:p>
    <w:p w14:paraId="2260521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col = 1:length(levels(data$stage)),</w:t>
      </w:r>
    </w:p>
    <w:p w14:paraId="643A094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lwd = 2</w:t>
      </w:r>
    </w:p>
    <w:p w14:paraId="2183E41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5BD1BEF0" w14:textId="77777777" w:rsidR="00F45229" w:rsidRPr="00F45229" w:rsidRDefault="00F45229" w:rsidP="00F45229">
      <w:pPr>
        <w:pStyle w:val="BodyText"/>
        <w:spacing w:after="0" w:line="240" w:lineRule="auto"/>
        <w:rPr>
          <w:i/>
          <w:iCs/>
          <w:color w:val="000099"/>
          <w:sz w:val="16"/>
          <w:szCs w:val="16"/>
        </w:rPr>
      </w:pPr>
    </w:p>
    <w:p w14:paraId="1896D7B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grid()</w:t>
      </w:r>
    </w:p>
    <w:p w14:paraId="6DDDD80C" w14:textId="77777777" w:rsidR="00F45229" w:rsidRPr="00F45229" w:rsidRDefault="00F45229" w:rsidP="00F45229">
      <w:pPr>
        <w:pStyle w:val="BodyText"/>
        <w:spacing w:after="0" w:line="240" w:lineRule="auto"/>
        <w:rPr>
          <w:i/>
          <w:iCs/>
          <w:color w:val="000099"/>
          <w:sz w:val="16"/>
          <w:szCs w:val="16"/>
        </w:rPr>
      </w:pPr>
    </w:p>
    <w:p w14:paraId="72B64562" w14:textId="77777777" w:rsidR="00F45229" w:rsidRPr="00F45229" w:rsidRDefault="00F45229" w:rsidP="00F45229">
      <w:pPr>
        <w:pStyle w:val="BodyText"/>
        <w:spacing w:after="0" w:line="240" w:lineRule="auto"/>
        <w:rPr>
          <w:i/>
          <w:iCs/>
          <w:color w:val="000099"/>
          <w:sz w:val="16"/>
          <w:szCs w:val="16"/>
        </w:rPr>
      </w:pPr>
    </w:p>
    <w:p w14:paraId="5590B8B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2C0AFE8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13. LOG-RANK TEST: STAGE</w:t>
      </w:r>
    </w:p>
    <w:p w14:paraId="3CD4384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480839E" w14:textId="77777777" w:rsidR="00F45229" w:rsidRPr="00F45229" w:rsidRDefault="00F45229" w:rsidP="00F45229">
      <w:pPr>
        <w:pStyle w:val="BodyText"/>
        <w:spacing w:after="0" w:line="240" w:lineRule="auto"/>
        <w:rPr>
          <w:i/>
          <w:iCs/>
          <w:color w:val="000099"/>
          <w:sz w:val="16"/>
          <w:szCs w:val="16"/>
        </w:rPr>
      </w:pPr>
    </w:p>
    <w:p w14:paraId="41460D3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logrank_stage &lt;- survdiff(</w:t>
      </w:r>
    </w:p>
    <w:p w14:paraId="3776593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Surv(time, status_death) ~ stage,</w:t>
      </w:r>
    </w:p>
    <w:p w14:paraId="52486E9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 = data</w:t>
      </w:r>
    </w:p>
    <w:p w14:paraId="3FC75CC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5E3E90BC" w14:textId="77777777" w:rsidR="00F45229" w:rsidRPr="00F45229" w:rsidRDefault="00F45229" w:rsidP="00F45229">
      <w:pPr>
        <w:pStyle w:val="BodyText"/>
        <w:spacing w:after="0" w:line="240" w:lineRule="auto"/>
        <w:rPr>
          <w:i/>
          <w:iCs/>
          <w:color w:val="000099"/>
          <w:sz w:val="16"/>
          <w:szCs w:val="16"/>
        </w:rPr>
      </w:pPr>
    </w:p>
    <w:p w14:paraId="21436BB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print(logrank_stage)</w:t>
      </w:r>
    </w:p>
    <w:p w14:paraId="32882924" w14:textId="77777777" w:rsidR="00F45229" w:rsidRPr="00F45229" w:rsidRDefault="00F45229" w:rsidP="00F45229">
      <w:pPr>
        <w:pStyle w:val="BodyText"/>
        <w:spacing w:after="0" w:line="240" w:lineRule="auto"/>
        <w:rPr>
          <w:i/>
          <w:iCs/>
          <w:color w:val="000099"/>
          <w:sz w:val="16"/>
          <w:szCs w:val="16"/>
        </w:rPr>
      </w:pPr>
    </w:p>
    <w:p w14:paraId="2C9F25D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p_stage &lt;- 1 - pchisq(</w:t>
      </w:r>
    </w:p>
    <w:p w14:paraId="707C7CA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logrank_stage$chisq,</w:t>
      </w:r>
    </w:p>
    <w:p w14:paraId="72C8008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df = length(logrank_stage$n) - 1</w:t>
      </w:r>
    </w:p>
    <w:p w14:paraId="7DC9AC8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3CECEE18" w14:textId="77777777" w:rsidR="00F45229" w:rsidRPr="00F45229" w:rsidRDefault="00F45229" w:rsidP="00F45229">
      <w:pPr>
        <w:pStyle w:val="BodyText"/>
        <w:spacing w:after="0" w:line="240" w:lineRule="auto"/>
        <w:rPr>
          <w:i/>
          <w:iCs/>
          <w:color w:val="000099"/>
          <w:sz w:val="16"/>
          <w:szCs w:val="16"/>
        </w:rPr>
      </w:pPr>
    </w:p>
    <w:p w14:paraId="6876DEF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cat("Stage log-rank p-value =", p_stage, "\n")</w:t>
      </w:r>
    </w:p>
    <w:p w14:paraId="3354982D" w14:textId="77777777" w:rsidR="00F45229" w:rsidRPr="00F45229" w:rsidRDefault="00F45229" w:rsidP="00F45229">
      <w:pPr>
        <w:pStyle w:val="BodyText"/>
        <w:spacing w:after="0" w:line="240" w:lineRule="auto"/>
        <w:rPr>
          <w:i/>
          <w:iCs/>
          <w:color w:val="000099"/>
          <w:sz w:val="16"/>
          <w:szCs w:val="16"/>
        </w:rPr>
      </w:pPr>
    </w:p>
    <w:p w14:paraId="4F5EC625" w14:textId="77777777" w:rsidR="00F45229" w:rsidRPr="00F45229" w:rsidRDefault="00F45229" w:rsidP="00F45229">
      <w:pPr>
        <w:pStyle w:val="BodyText"/>
        <w:spacing w:after="0" w:line="240" w:lineRule="auto"/>
        <w:rPr>
          <w:i/>
          <w:iCs/>
          <w:color w:val="000099"/>
          <w:sz w:val="16"/>
          <w:szCs w:val="16"/>
        </w:rPr>
      </w:pPr>
    </w:p>
    <w:p w14:paraId="01E4647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1EE053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14. COX PROPORTIONAL HAZARDS MODEL</w:t>
      </w:r>
    </w:p>
    <w:p w14:paraId="134AD15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84EF172" w14:textId="77777777" w:rsidR="00F45229" w:rsidRPr="00F45229" w:rsidRDefault="00F45229" w:rsidP="00F45229">
      <w:pPr>
        <w:pStyle w:val="BodyText"/>
        <w:spacing w:after="0" w:line="240" w:lineRule="auto"/>
        <w:rPr>
          <w:i/>
          <w:iCs/>
          <w:color w:val="000099"/>
          <w:sz w:val="16"/>
          <w:szCs w:val="16"/>
        </w:rPr>
      </w:pPr>
    </w:p>
    <w:p w14:paraId="4791644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cox_model &lt;- coxph(</w:t>
      </w:r>
    </w:p>
    <w:p w14:paraId="2FC0C4A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Surv(time, status_death) ~</w:t>
      </w:r>
    </w:p>
    <w:p w14:paraId="1145BBE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lastRenderedPageBreak/>
        <w:t xml:space="preserve">    age + sex + trt + bili + albumin + edema + stage,</w:t>
      </w:r>
    </w:p>
    <w:p w14:paraId="3B462FF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data = data</w:t>
      </w:r>
    </w:p>
    <w:p w14:paraId="0EABB0B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BA6171E" w14:textId="77777777" w:rsidR="00F45229" w:rsidRPr="00F45229" w:rsidRDefault="00F45229" w:rsidP="00F45229">
      <w:pPr>
        <w:pStyle w:val="BodyText"/>
        <w:spacing w:after="0" w:line="240" w:lineRule="auto"/>
        <w:rPr>
          <w:i/>
          <w:iCs/>
          <w:color w:val="000099"/>
          <w:sz w:val="16"/>
          <w:szCs w:val="16"/>
        </w:rPr>
      </w:pPr>
    </w:p>
    <w:p w14:paraId="5DD1C92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summary(cox_model)</w:t>
      </w:r>
    </w:p>
    <w:p w14:paraId="541F466B" w14:textId="77777777" w:rsidR="00F45229" w:rsidRPr="00F45229" w:rsidRDefault="00F45229" w:rsidP="00F45229">
      <w:pPr>
        <w:pStyle w:val="BodyText"/>
        <w:spacing w:after="0" w:line="240" w:lineRule="auto"/>
        <w:rPr>
          <w:i/>
          <w:iCs/>
          <w:color w:val="000099"/>
          <w:sz w:val="16"/>
          <w:szCs w:val="16"/>
        </w:rPr>
      </w:pPr>
    </w:p>
    <w:p w14:paraId="4EDD61DE" w14:textId="77777777" w:rsidR="00F45229" w:rsidRPr="00F45229" w:rsidRDefault="00F45229" w:rsidP="00F45229">
      <w:pPr>
        <w:pStyle w:val="BodyText"/>
        <w:spacing w:after="0" w:line="240" w:lineRule="auto"/>
        <w:rPr>
          <w:i/>
          <w:iCs/>
          <w:color w:val="000099"/>
          <w:sz w:val="16"/>
          <w:szCs w:val="16"/>
        </w:rPr>
      </w:pPr>
    </w:p>
    <w:p w14:paraId="1E006A2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10F602B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15. HAZARD RATIOS</w:t>
      </w:r>
    </w:p>
    <w:p w14:paraId="48D3BD9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7E1D14C8" w14:textId="77777777" w:rsidR="00F45229" w:rsidRPr="00F45229" w:rsidRDefault="00F45229" w:rsidP="00F45229">
      <w:pPr>
        <w:pStyle w:val="BodyText"/>
        <w:spacing w:after="0" w:line="240" w:lineRule="auto"/>
        <w:rPr>
          <w:i/>
          <w:iCs/>
          <w:color w:val="000099"/>
          <w:sz w:val="16"/>
          <w:szCs w:val="16"/>
        </w:rPr>
      </w:pPr>
    </w:p>
    <w:p w14:paraId="3CB32F1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HR &lt;- exp(coef(cox_model))</w:t>
      </w:r>
    </w:p>
    <w:p w14:paraId="4121AD77" w14:textId="77777777" w:rsidR="00F45229" w:rsidRPr="00F45229" w:rsidRDefault="00F45229" w:rsidP="00F45229">
      <w:pPr>
        <w:pStyle w:val="BodyText"/>
        <w:spacing w:after="0" w:line="240" w:lineRule="auto"/>
        <w:rPr>
          <w:i/>
          <w:iCs/>
          <w:color w:val="000099"/>
          <w:sz w:val="16"/>
          <w:szCs w:val="16"/>
        </w:rPr>
      </w:pPr>
    </w:p>
    <w:p w14:paraId="4408859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CI &lt;- exp(confint(cox_model))</w:t>
      </w:r>
    </w:p>
    <w:p w14:paraId="15FA107B" w14:textId="77777777" w:rsidR="00F45229" w:rsidRPr="00F45229" w:rsidRDefault="00F45229" w:rsidP="00F45229">
      <w:pPr>
        <w:pStyle w:val="BodyText"/>
        <w:spacing w:after="0" w:line="240" w:lineRule="auto"/>
        <w:rPr>
          <w:i/>
          <w:iCs/>
          <w:color w:val="000099"/>
          <w:sz w:val="16"/>
          <w:szCs w:val="16"/>
        </w:rPr>
      </w:pPr>
    </w:p>
    <w:p w14:paraId="3557069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p_values &lt;- summary(cox_model)$coefficients[, 5]</w:t>
      </w:r>
    </w:p>
    <w:p w14:paraId="66A59D42" w14:textId="77777777" w:rsidR="00F45229" w:rsidRPr="00F45229" w:rsidRDefault="00F45229" w:rsidP="00F45229">
      <w:pPr>
        <w:pStyle w:val="BodyText"/>
        <w:spacing w:after="0" w:line="240" w:lineRule="auto"/>
        <w:rPr>
          <w:i/>
          <w:iCs/>
          <w:color w:val="000099"/>
          <w:sz w:val="16"/>
          <w:szCs w:val="16"/>
        </w:rPr>
      </w:pPr>
    </w:p>
    <w:p w14:paraId="7A8EE03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cox_results &lt;- data.frame(</w:t>
      </w:r>
    </w:p>
    <w:p w14:paraId="563C85C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Variable = names(HR),</w:t>
      </w:r>
    </w:p>
    <w:p w14:paraId="6AE42CF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Hazard_Ratio = HR,</w:t>
      </w:r>
    </w:p>
    <w:p w14:paraId="4E9E7A4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Lower_95_CI = CI[, 1],</w:t>
      </w:r>
    </w:p>
    <w:p w14:paraId="30C6524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Upper_95_CI = CI[, 2],</w:t>
      </w:r>
    </w:p>
    <w:p w14:paraId="435069F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P_Value = p_values</w:t>
      </w:r>
    </w:p>
    <w:p w14:paraId="7EFE8E6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06A93B65" w14:textId="77777777" w:rsidR="00F45229" w:rsidRPr="00F45229" w:rsidRDefault="00F45229" w:rsidP="00F45229">
      <w:pPr>
        <w:pStyle w:val="BodyText"/>
        <w:spacing w:after="0" w:line="240" w:lineRule="auto"/>
        <w:rPr>
          <w:i/>
          <w:iCs/>
          <w:color w:val="000099"/>
          <w:sz w:val="16"/>
          <w:szCs w:val="16"/>
        </w:rPr>
      </w:pPr>
    </w:p>
    <w:p w14:paraId="2558337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print(cox_results)</w:t>
      </w:r>
    </w:p>
    <w:p w14:paraId="43BBF2D0" w14:textId="77777777" w:rsidR="00F45229" w:rsidRPr="00F45229" w:rsidRDefault="00F45229" w:rsidP="00F45229">
      <w:pPr>
        <w:pStyle w:val="BodyText"/>
        <w:spacing w:after="0" w:line="240" w:lineRule="auto"/>
        <w:rPr>
          <w:i/>
          <w:iCs/>
          <w:color w:val="000099"/>
          <w:sz w:val="16"/>
          <w:szCs w:val="16"/>
        </w:rPr>
      </w:pPr>
    </w:p>
    <w:p w14:paraId="1C5EFC71" w14:textId="77777777" w:rsidR="00F45229" w:rsidRPr="00F45229" w:rsidRDefault="00F45229" w:rsidP="00F45229">
      <w:pPr>
        <w:pStyle w:val="BodyText"/>
        <w:spacing w:after="0" w:line="240" w:lineRule="auto"/>
        <w:rPr>
          <w:i/>
          <w:iCs/>
          <w:color w:val="000099"/>
          <w:sz w:val="16"/>
          <w:szCs w:val="16"/>
        </w:rPr>
      </w:pPr>
    </w:p>
    <w:p w14:paraId="03073D9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47D288B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16. COX MODEL RESULTS</w:t>
      </w:r>
    </w:p>
    <w:p w14:paraId="72D3E3E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45DAABFF" w14:textId="77777777" w:rsidR="00F45229" w:rsidRPr="00F45229" w:rsidRDefault="00F45229" w:rsidP="00F45229">
      <w:pPr>
        <w:pStyle w:val="BodyText"/>
        <w:spacing w:after="0" w:line="240" w:lineRule="auto"/>
        <w:rPr>
          <w:i/>
          <w:iCs/>
          <w:color w:val="000099"/>
          <w:sz w:val="16"/>
          <w:szCs w:val="16"/>
        </w:rPr>
      </w:pPr>
    </w:p>
    <w:p w14:paraId="71052D6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print(cox_results)</w:t>
      </w:r>
    </w:p>
    <w:p w14:paraId="6EAAB09C" w14:textId="77777777" w:rsidR="00F45229" w:rsidRPr="00F45229" w:rsidRDefault="00F45229" w:rsidP="00F45229">
      <w:pPr>
        <w:pStyle w:val="BodyText"/>
        <w:spacing w:after="0" w:line="240" w:lineRule="auto"/>
        <w:rPr>
          <w:i/>
          <w:iCs/>
          <w:color w:val="000099"/>
          <w:sz w:val="16"/>
          <w:szCs w:val="16"/>
        </w:rPr>
      </w:pPr>
    </w:p>
    <w:p w14:paraId="254650E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Plot estimated hazard ratios with 95% confidence intervals</w:t>
      </w:r>
    </w:p>
    <w:p w14:paraId="15997320" w14:textId="77777777" w:rsidR="00F45229" w:rsidRPr="00F45229" w:rsidRDefault="00F45229" w:rsidP="00F45229">
      <w:pPr>
        <w:pStyle w:val="BodyText"/>
        <w:spacing w:after="0" w:line="240" w:lineRule="auto"/>
        <w:rPr>
          <w:i/>
          <w:iCs/>
          <w:color w:val="000099"/>
          <w:sz w:val="16"/>
          <w:szCs w:val="16"/>
        </w:rPr>
      </w:pPr>
    </w:p>
    <w:p w14:paraId="3AE24C9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HR &lt;- cox_results$Hazard_Ratio</w:t>
      </w:r>
    </w:p>
    <w:p w14:paraId="16A239D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lower &lt;- cox_results$Lower_95_CI</w:t>
      </w:r>
    </w:p>
    <w:p w14:paraId="6892C5C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upper &lt;- cox_results$Upper_95_CI</w:t>
      </w:r>
    </w:p>
    <w:p w14:paraId="61BA2BBF" w14:textId="77777777" w:rsidR="00F45229" w:rsidRPr="00F45229" w:rsidRDefault="00F45229" w:rsidP="00F45229">
      <w:pPr>
        <w:pStyle w:val="BodyText"/>
        <w:spacing w:after="0" w:line="240" w:lineRule="auto"/>
        <w:rPr>
          <w:i/>
          <w:iCs/>
          <w:color w:val="000099"/>
          <w:sz w:val="16"/>
          <w:szCs w:val="16"/>
        </w:rPr>
      </w:pPr>
    </w:p>
    <w:p w14:paraId="3E2D3107"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plot(</w:t>
      </w:r>
    </w:p>
    <w:p w14:paraId="66BEAFE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HR,</w:t>
      </w:r>
    </w:p>
    <w:p w14:paraId="3C704E3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seq_along(HR),</w:t>
      </w:r>
    </w:p>
    <w:p w14:paraId="3B75B7D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xlim = range(c(lower, upper)),</w:t>
      </w:r>
    </w:p>
    <w:p w14:paraId="2E1AE33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yaxt = "n",</w:t>
      </w:r>
    </w:p>
    <w:p w14:paraId="588A7CB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xlab = "Hazard Ratio",</w:t>
      </w:r>
    </w:p>
    <w:p w14:paraId="53DFF90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ylab = "",</w:t>
      </w:r>
    </w:p>
    <w:p w14:paraId="5261A5B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 = "Cox Proportional Hazards Model",</w:t>
      </w:r>
    </w:p>
    <w:p w14:paraId="071F0FF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pch = 19</w:t>
      </w:r>
    </w:p>
    <w:p w14:paraId="4DB4FA5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32F55DA9" w14:textId="77777777" w:rsidR="00F45229" w:rsidRPr="00F45229" w:rsidRDefault="00F45229" w:rsidP="00F45229">
      <w:pPr>
        <w:pStyle w:val="BodyText"/>
        <w:spacing w:after="0" w:line="240" w:lineRule="auto"/>
        <w:rPr>
          <w:i/>
          <w:iCs/>
          <w:color w:val="000099"/>
          <w:sz w:val="16"/>
          <w:szCs w:val="16"/>
        </w:rPr>
      </w:pPr>
    </w:p>
    <w:p w14:paraId="0A16E5C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segments(</w:t>
      </w:r>
    </w:p>
    <w:p w14:paraId="2B78C9E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lower,</w:t>
      </w:r>
    </w:p>
    <w:p w14:paraId="53E72E0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seq_along(HR),</w:t>
      </w:r>
    </w:p>
    <w:p w14:paraId="66DDFE2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upper,</w:t>
      </w:r>
    </w:p>
    <w:p w14:paraId="6D6C648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seq_along(HR)</w:t>
      </w:r>
    </w:p>
    <w:p w14:paraId="72587B2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4778B246" w14:textId="77777777" w:rsidR="00F45229" w:rsidRPr="00F45229" w:rsidRDefault="00F45229" w:rsidP="00F45229">
      <w:pPr>
        <w:pStyle w:val="BodyText"/>
        <w:spacing w:after="0" w:line="240" w:lineRule="auto"/>
        <w:rPr>
          <w:i/>
          <w:iCs/>
          <w:color w:val="000099"/>
          <w:sz w:val="16"/>
          <w:szCs w:val="16"/>
        </w:rPr>
      </w:pPr>
    </w:p>
    <w:p w14:paraId="7C5C090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abline(</w:t>
      </w:r>
    </w:p>
    <w:p w14:paraId="71D4784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v = 1,</w:t>
      </w:r>
    </w:p>
    <w:p w14:paraId="7F1781D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lty = 2</w:t>
      </w:r>
    </w:p>
    <w:p w14:paraId="43DC7ED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CFB4D21" w14:textId="77777777" w:rsidR="00F45229" w:rsidRPr="00F45229" w:rsidRDefault="00F45229" w:rsidP="00F45229">
      <w:pPr>
        <w:pStyle w:val="BodyText"/>
        <w:spacing w:after="0" w:line="240" w:lineRule="auto"/>
        <w:rPr>
          <w:i/>
          <w:iCs/>
          <w:color w:val="000099"/>
          <w:sz w:val="16"/>
          <w:szCs w:val="16"/>
        </w:rPr>
      </w:pPr>
    </w:p>
    <w:p w14:paraId="4FCAE65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axis(</w:t>
      </w:r>
    </w:p>
    <w:p w14:paraId="35F2B10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2,</w:t>
      </w:r>
    </w:p>
    <w:p w14:paraId="3A7E403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at = seq_along(HR),</w:t>
      </w:r>
    </w:p>
    <w:p w14:paraId="1871922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labels = cox_results$Variable,</w:t>
      </w:r>
    </w:p>
    <w:p w14:paraId="5800FA1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las = 1</w:t>
      </w:r>
    </w:p>
    <w:p w14:paraId="38885F3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62B88BCD" w14:textId="77777777" w:rsidR="00F45229" w:rsidRPr="00F45229" w:rsidRDefault="00F45229" w:rsidP="00F45229">
      <w:pPr>
        <w:pStyle w:val="BodyText"/>
        <w:spacing w:after="0" w:line="240" w:lineRule="auto"/>
        <w:rPr>
          <w:i/>
          <w:iCs/>
          <w:color w:val="000099"/>
          <w:sz w:val="16"/>
          <w:szCs w:val="16"/>
        </w:rPr>
      </w:pPr>
    </w:p>
    <w:p w14:paraId="5CD82FBB"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6CAC073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17. PROPORTIONAL HAZARDS ASSUMPTION</w:t>
      </w:r>
    </w:p>
    <w:p w14:paraId="1E9E244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33E34490" w14:textId="77777777" w:rsidR="00F45229" w:rsidRPr="00F45229" w:rsidRDefault="00F45229" w:rsidP="00F45229">
      <w:pPr>
        <w:pStyle w:val="BodyText"/>
        <w:spacing w:after="0" w:line="240" w:lineRule="auto"/>
        <w:rPr>
          <w:i/>
          <w:iCs/>
          <w:color w:val="000099"/>
          <w:sz w:val="16"/>
          <w:szCs w:val="16"/>
        </w:rPr>
      </w:pPr>
    </w:p>
    <w:p w14:paraId="30CA10B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ph_test &lt;- cox.zph(cox_model)</w:t>
      </w:r>
    </w:p>
    <w:p w14:paraId="52EF41F9" w14:textId="77777777" w:rsidR="00F45229" w:rsidRPr="00F45229" w:rsidRDefault="00F45229" w:rsidP="00F45229">
      <w:pPr>
        <w:pStyle w:val="BodyText"/>
        <w:spacing w:after="0" w:line="240" w:lineRule="auto"/>
        <w:rPr>
          <w:i/>
          <w:iCs/>
          <w:color w:val="000099"/>
          <w:sz w:val="16"/>
          <w:szCs w:val="16"/>
        </w:rPr>
      </w:pPr>
    </w:p>
    <w:p w14:paraId="3FC2C7F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par(mfrow=c(2,4))</w:t>
      </w:r>
    </w:p>
    <w:p w14:paraId="2E7E5F1E" w14:textId="77777777" w:rsidR="00F45229" w:rsidRPr="00F45229" w:rsidRDefault="00F45229" w:rsidP="00F45229">
      <w:pPr>
        <w:pStyle w:val="BodyText"/>
        <w:spacing w:after="0" w:line="240" w:lineRule="auto"/>
        <w:rPr>
          <w:i/>
          <w:iCs/>
          <w:color w:val="000099"/>
          <w:sz w:val="16"/>
          <w:szCs w:val="16"/>
        </w:rPr>
      </w:pPr>
    </w:p>
    <w:p w14:paraId="4113DC9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plot(</w:t>
      </w:r>
    </w:p>
    <w:p w14:paraId="320151E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ph_test,</w:t>
      </w:r>
    </w:p>
    <w:p w14:paraId="77B02A1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main="Schoenfeld Residual Test"</w:t>
      </w:r>
    </w:p>
    <w:p w14:paraId="3C4AA08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15FD0023" w14:textId="77777777" w:rsidR="00F45229" w:rsidRPr="00F45229" w:rsidRDefault="00F45229" w:rsidP="00F45229">
      <w:pPr>
        <w:pStyle w:val="BodyText"/>
        <w:spacing w:after="0" w:line="240" w:lineRule="auto"/>
        <w:rPr>
          <w:i/>
          <w:iCs/>
          <w:color w:val="000099"/>
          <w:sz w:val="16"/>
          <w:szCs w:val="16"/>
        </w:rPr>
      </w:pPr>
    </w:p>
    <w:p w14:paraId="25FAEED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par(mfrow=c(1,1))</w:t>
      </w:r>
    </w:p>
    <w:p w14:paraId="26A8B94B" w14:textId="77777777" w:rsidR="00F45229" w:rsidRPr="00F45229" w:rsidRDefault="00F45229" w:rsidP="00F45229">
      <w:pPr>
        <w:pStyle w:val="BodyText"/>
        <w:spacing w:after="0" w:line="240" w:lineRule="auto"/>
        <w:rPr>
          <w:i/>
          <w:iCs/>
          <w:color w:val="000099"/>
          <w:sz w:val="16"/>
          <w:szCs w:val="16"/>
        </w:rPr>
      </w:pPr>
    </w:p>
    <w:p w14:paraId="31D9454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7743256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18. FINAL SUMMARY</w:t>
      </w:r>
    </w:p>
    <w:p w14:paraId="65FFE41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w:t>
      </w:r>
    </w:p>
    <w:p w14:paraId="24DE65BB" w14:textId="77777777" w:rsidR="00F45229" w:rsidRPr="00F45229" w:rsidRDefault="00F45229" w:rsidP="00F45229">
      <w:pPr>
        <w:pStyle w:val="BodyText"/>
        <w:spacing w:after="0" w:line="240" w:lineRule="auto"/>
        <w:rPr>
          <w:i/>
          <w:iCs/>
          <w:color w:val="000099"/>
          <w:sz w:val="16"/>
          <w:szCs w:val="16"/>
        </w:rPr>
      </w:pPr>
    </w:p>
    <w:p w14:paraId="02F177D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cat("\n====================================\n")</w:t>
      </w:r>
    </w:p>
    <w:p w14:paraId="048E98A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cat("FINAL SURVIVAL ANALYSIS SUMMARY\n")</w:t>
      </w:r>
    </w:p>
    <w:p w14:paraId="6D83A8BE"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cat("====================================\n")</w:t>
      </w:r>
    </w:p>
    <w:p w14:paraId="6EED82F0" w14:textId="77777777" w:rsidR="00F45229" w:rsidRPr="00F45229" w:rsidRDefault="00F45229" w:rsidP="00F45229">
      <w:pPr>
        <w:pStyle w:val="BodyText"/>
        <w:spacing w:after="0" w:line="240" w:lineRule="auto"/>
        <w:rPr>
          <w:i/>
          <w:iCs/>
          <w:color w:val="000099"/>
          <w:sz w:val="16"/>
          <w:szCs w:val="16"/>
        </w:rPr>
      </w:pPr>
    </w:p>
    <w:p w14:paraId="28C520E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cat("Number of patients:", nrow(data), "\n")</w:t>
      </w:r>
    </w:p>
    <w:p w14:paraId="2D8C3787" w14:textId="77777777" w:rsidR="00F45229" w:rsidRPr="00F45229" w:rsidRDefault="00F45229" w:rsidP="00F45229">
      <w:pPr>
        <w:pStyle w:val="BodyText"/>
        <w:spacing w:after="0" w:line="240" w:lineRule="auto"/>
        <w:rPr>
          <w:i/>
          <w:iCs/>
          <w:color w:val="000099"/>
          <w:sz w:val="16"/>
          <w:szCs w:val="16"/>
        </w:rPr>
      </w:pPr>
    </w:p>
    <w:p w14:paraId="773B085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w:t>
      </w:r>
    </w:p>
    <w:p w14:paraId="2EBACFD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"Number of deaths:",</w:t>
      </w:r>
    </w:p>
    <w:p w14:paraId="4FC4187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sum(data$status_death == 1),</w:t>
      </w:r>
    </w:p>
    <w:p w14:paraId="30EA5668"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"\n"</w:t>
      </w:r>
    </w:p>
    <w:p w14:paraId="2901A5D4"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3F438BE2" w14:textId="77777777" w:rsidR="00F45229" w:rsidRPr="00F45229" w:rsidRDefault="00F45229" w:rsidP="00F45229">
      <w:pPr>
        <w:pStyle w:val="BodyText"/>
        <w:spacing w:after="0" w:line="240" w:lineRule="auto"/>
        <w:rPr>
          <w:i/>
          <w:iCs/>
          <w:color w:val="000099"/>
          <w:sz w:val="16"/>
          <w:szCs w:val="16"/>
        </w:rPr>
      </w:pPr>
    </w:p>
    <w:p w14:paraId="1D5A3D1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w:t>
      </w:r>
    </w:p>
    <w:p w14:paraId="29E6429F"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"Number censored:",</w:t>
      </w:r>
    </w:p>
    <w:p w14:paraId="0196882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sum(data$status_death == 0),</w:t>
      </w:r>
    </w:p>
    <w:p w14:paraId="06F146F0"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"\n"</w:t>
      </w:r>
    </w:p>
    <w:p w14:paraId="713B1CB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03C947F4" w14:textId="77777777" w:rsidR="00F45229" w:rsidRPr="00F45229" w:rsidRDefault="00F45229" w:rsidP="00F45229">
      <w:pPr>
        <w:pStyle w:val="BodyText"/>
        <w:spacing w:after="0" w:line="240" w:lineRule="auto"/>
        <w:rPr>
          <w:i/>
          <w:iCs/>
          <w:color w:val="000099"/>
          <w:sz w:val="16"/>
          <w:szCs w:val="16"/>
        </w:rPr>
      </w:pPr>
    </w:p>
    <w:p w14:paraId="5BD9FEA1"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w:t>
      </w:r>
    </w:p>
    <w:p w14:paraId="550A600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"Treatment log-rank p-value:",</w:t>
      </w:r>
    </w:p>
    <w:p w14:paraId="0A12917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p_trt,</w:t>
      </w:r>
    </w:p>
    <w:p w14:paraId="05640A9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"\n"</w:t>
      </w:r>
    </w:p>
    <w:p w14:paraId="69F6A30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35D87C5D" w14:textId="77777777" w:rsidR="00F45229" w:rsidRPr="00F45229" w:rsidRDefault="00F45229" w:rsidP="00F45229">
      <w:pPr>
        <w:pStyle w:val="BodyText"/>
        <w:spacing w:after="0" w:line="240" w:lineRule="auto"/>
        <w:rPr>
          <w:i/>
          <w:iCs/>
          <w:color w:val="000099"/>
          <w:sz w:val="16"/>
          <w:szCs w:val="16"/>
        </w:rPr>
      </w:pPr>
    </w:p>
    <w:p w14:paraId="4D27C03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w:t>
      </w:r>
    </w:p>
    <w:p w14:paraId="090511C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"Sex log-rank p-value:",</w:t>
      </w:r>
    </w:p>
    <w:p w14:paraId="22881AC5"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p_sex,</w:t>
      </w:r>
    </w:p>
    <w:p w14:paraId="5A77CDB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"\n"</w:t>
      </w:r>
    </w:p>
    <w:p w14:paraId="411C7AC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7C9F7AE2" w14:textId="77777777" w:rsidR="00F45229" w:rsidRPr="00F45229" w:rsidRDefault="00F45229" w:rsidP="00F45229">
      <w:pPr>
        <w:pStyle w:val="BodyText"/>
        <w:spacing w:after="0" w:line="240" w:lineRule="auto"/>
        <w:rPr>
          <w:i/>
          <w:iCs/>
          <w:color w:val="000099"/>
          <w:sz w:val="16"/>
          <w:szCs w:val="16"/>
        </w:rPr>
      </w:pPr>
    </w:p>
    <w:p w14:paraId="0D3A38B3"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w:t>
      </w:r>
    </w:p>
    <w:p w14:paraId="0D9DE39A"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"Stage log-rank p-value:",</w:t>
      </w:r>
    </w:p>
    <w:p w14:paraId="7D3143BD"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p_stage,</w:t>
      </w:r>
    </w:p>
    <w:p w14:paraId="66009DB9"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 xml:space="preserve">  "\n"</w:t>
      </w:r>
    </w:p>
    <w:p w14:paraId="40AFA9FC"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w:t>
      </w:r>
    </w:p>
    <w:p w14:paraId="2E18F1FA" w14:textId="77777777" w:rsidR="00F45229" w:rsidRPr="00F45229" w:rsidRDefault="00F45229" w:rsidP="00F45229">
      <w:pPr>
        <w:pStyle w:val="BodyText"/>
        <w:spacing w:after="0" w:line="240" w:lineRule="auto"/>
        <w:rPr>
          <w:i/>
          <w:iCs/>
          <w:color w:val="000099"/>
          <w:sz w:val="16"/>
          <w:szCs w:val="16"/>
        </w:rPr>
      </w:pPr>
    </w:p>
    <w:p w14:paraId="0E07DDF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cat("\nCox Regression Results:\n")</w:t>
      </w:r>
    </w:p>
    <w:p w14:paraId="5EDAED8C" w14:textId="77777777" w:rsidR="00F45229" w:rsidRPr="00F45229" w:rsidRDefault="00F45229" w:rsidP="00F45229">
      <w:pPr>
        <w:pStyle w:val="BodyText"/>
        <w:spacing w:after="0" w:line="240" w:lineRule="auto"/>
        <w:rPr>
          <w:i/>
          <w:iCs/>
          <w:color w:val="000099"/>
          <w:sz w:val="16"/>
          <w:szCs w:val="16"/>
        </w:rPr>
      </w:pPr>
    </w:p>
    <w:p w14:paraId="0FD80322"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print(cox_results)</w:t>
      </w:r>
    </w:p>
    <w:p w14:paraId="6CFCD8B6" w14:textId="77777777" w:rsidR="00F45229" w:rsidRPr="00F45229" w:rsidRDefault="00F45229" w:rsidP="00F45229">
      <w:pPr>
        <w:pStyle w:val="BodyText"/>
        <w:spacing w:after="0" w:line="240" w:lineRule="auto"/>
        <w:rPr>
          <w:i/>
          <w:iCs/>
          <w:color w:val="000099"/>
          <w:sz w:val="16"/>
          <w:szCs w:val="16"/>
        </w:rPr>
      </w:pPr>
    </w:p>
    <w:p w14:paraId="3B12A226" w14:textId="77777777"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cat("\nProportional Hazards Test:\n")</w:t>
      </w:r>
    </w:p>
    <w:p w14:paraId="54E35229" w14:textId="77777777" w:rsidR="00F45229" w:rsidRPr="00F45229" w:rsidRDefault="00F45229" w:rsidP="00F45229">
      <w:pPr>
        <w:pStyle w:val="BodyText"/>
        <w:spacing w:after="0" w:line="240" w:lineRule="auto"/>
        <w:rPr>
          <w:i/>
          <w:iCs/>
          <w:color w:val="000099"/>
          <w:sz w:val="16"/>
          <w:szCs w:val="16"/>
        </w:rPr>
      </w:pPr>
    </w:p>
    <w:p w14:paraId="7D34C7B5" w14:textId="2FD3DE3D" w:rsidR="00F45229" w:rsidRPr="00F45229" w:rsidRDefault="00F45229" w:rsidP="00F45229">
      <w:pPr>
        <w:pStyle w:val="BodyText"/>
        <w:spacing w:after="0" w:line="240" w:lineRule="auto"/>
        <w:rPr>
          <w:i/>
          <w:iCs/>
          <w:color w:val="000099"/>
          <w:sz w:val="16"/>
          <w:szCs w:val="16"/>
        </w:rPr>
      </w:pPr>
      <w:r w:rsidRPr="00F45229">
        <w:rPr>
          <w:i/>
          <w:iCs/>
          <w:color w:val="000099"/>
          <w:sz w:val="16"/>
          <w:szCs w:val="16"/>
        </w:rPr>
        <w:t>print(ph_test)</w:t>
      </w:r>
      <w:r w:rsidRPr="00F45229">
        <w:rPr>
          <w:i/>
          <w:iCs/>
          <w:color w:val="000099"/>
          <w:sz w:val="16"/>
          <w:szCs w:val="16"/>
        </w:rPr>
        <w:t xml:space="preserve"> </w:t>
      </w:r>
    </w:p>
    <w:sectPr w:rsidR="00F45229" w:rsidRPr="00F45229" w:rsidSect="009B2675">
      <w:footerReference w:type="default" r:id="rId16"/>
      <w:pgSz w:w="11906" w:h="16838"/>
      <w:pgMar w:top="1440" w:right="1440" w:bottom="1440" w:left="1440" w:header="720" w:footer="709"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E8375" w14:textId="77777777" w:rsidR="0026619E" w:rsidRDefault="0026619E">
      <w:r>
        <w:separator/>
      </w:r>
    </w:p>
  </w:endnote>
  <w:endnote w:type="continuationSeparator" w:id="0">
    <w:p w14:paraId="5D32D0E0" w14:textId="77777777" w:rsidR="0026619E" w:rsidRDefault="00266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5A5F" w14:textId="77777777" w:rsidR="00ED5FE7" w:rsidRDefault="00000000">
    <w:pPr>
      <w:jc w:val="center"/>
    </w:pPr>
    <w:r>
      <w:rPr>
        <w:sz w:val="22"/>
      </w:rPr>
      <w:fldChar w:fldCharType="begin"/>
    </w:r>
    <w:r>
      <w:rPr>
        <w:sz w:val="22"/>
      </w:rPr>
      <w:instrText xml:space="preserve"> PAGE </w:instrText>
    </w:r>
    <w:r w:rsidR="009B2675">
      <w:rPr>
        <w:sz w:val="22"/>
      </w:rPr>
      <w:fldChar w:fldCharType="separate"/>
    </w:r>
    <w:r w:rsidR="009B2675">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A2C6" w14:textId="77777777" w:rsidR="0026619E" w:rsidRDefault="0026619E">
      <w:r>
        <w:separator/>
      </w:r>
    </w:p>
  </w:footnote>
  <w:footnote w:type="continuationSeparator" w:id="0">
    <w:p w14:paraId="4680FB4A" w14:textId="77777777" w:rsidR="0026619E" w:rsidRDefault="002661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7C3A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F3C30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8F03F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DF0111F"/>
    <w:multiLevelType w:val="hybridMultilevel"/>
    <w:tmpl w:val="508EAC18"/>
    <w:lvl w:ilvl="0" w:tplc="78D62044">
      <w:start w:val="29"/>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8601146">
    <w:abstractNumId w:val="0"/>
  </w:num>
  <w:num w:numId="2" w16cid:durableId="1382166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3385294">
    <w:abstractNumId w:val="1"/>
  </w:num>
  <w:num w:numId="4" w16cid:durableId="474225064">
    <w:abstractNumId w:val="1"/>
  </w:num>
  <w:num w:numId="5" w16cid:durableId="1267151992">
    <w:abstractNumId w:val="1"/>
  </w:num>
  <w:num w:numId="6" w16cid:durableId="654720090">
    <w:abstractNumId w:val="1"/>
  </w:num>
  <w:num w:numId="7" w16cid:durableId="534004929">
    <w:abstractNumId w:val="1"/>
  </w:num>
  <w:num w:numId="8" w16cid:durableId="468474133">
    <w:abstractNumId w:val="1"/>
  </w:num>
  <w:num w:numId="9" w16cid:durableId="2017686543">
    <w:abstractNumId w:val="1"/>
  </w:num>
  <w:num w:numId="10" w16cid:durableId="1940990478">
    <w:abstractNumId w:val="1"/>
  </w:num>
  <w:num w:numId="11" w16cid:durableId="66152167">
    <w:abstractNumId w:val="1"/>
  </w:num>
  <w:num w:numId="12" w16cid:durableId="825588052">
    <w:abstractNumId w:val="1"/>
  </w:num>
  <w:num w:numId="13" w16cid:durableId="1526210223">
    <w:abstractNumId w:val="1"/>
  </w:num>
  <w:num w:numId="14" w16cid:durableId="2116754281">
    <w:abstractNumId w:val="1"/>
  </w:num>
  <w:num w:numId="15" w16cid:durableId="925773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5FE7"/>
    <w:rsid w:val="0026619E"/>
    <w:rsid w:val="00321105"/>
    <w:rsid w:val="009B2675"/>
    <w:rsid w:val="00ED5FE7"/>
    <w:rsid w:val="00F4522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EE3E"/>
  <w15:docId w15:val="{5689FD23-5EE7-4D61-AB83-F5476078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360" w:after="120"/>
      <w:outlineLvl w:val="0"/>
    </w:pPr>
    <w:rPr>
      <w:b/>
      <w:bCs/>
      <w:sz w:val="28"/>
      <w:szCs w:val="28"/>
    </w:rPr>
  </w:style>
  <w:style w:type="paragraph" w:styleId="Heading2">
    <w:name w:val="heading 2"/>
    <w:basedOn w:val="Normal"/>
    <w:next w:val="BodyText"/>
    <w:uiPriority w:val="9"/>
    <w:unhideWhenUsed/>
    <w:qFormat/>
    <w:pPr>
      <w:keepNext/>
      <w:keepLines/>
      <w:spacing w:before="240" w:after="100"/>
      <w:outlineLvl w:val="1"/>
    </w:pPr>
    <w:rPr>
      <w:b/>
      <w:bCs/>
    </w:rPr>
  </w:style>
  <w:style w:type="paragraph" w:styleId="Heading3">
    <w:name w:val="heading 3"/>
    <w:basedOn w:val="Normal"/>
    <w:next w:val="BodyText"/>
    <w:uiPriority w:val="9"/>
    <w:unhideWhenUsed/>
    <w:qFormat/>
    <w:pPr>
      <w:keepNext/>
      <w:keepLines/>
      <w:spacing w:before="180" w:after="60"/>
      <w:outlineLvl w:val="2"/>
    </w:pPr>
    <w:rPr>
      <w:b/>
      <w:bCs/>
      <w:i/>
      <w:iCs/>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360" w:lineRule="auto"/>
      <w:jc w:val="both"/>
    </w:pPr>
  </w:style>
  <w:style w:type="paragraph" w:customStyle="1" w:styleId="FirstParagraph">
    <w:name w:val="First Paragraph"/>
    <w:basedOn w:val="Normal"/>
    <w:next w:val="BodyText"/>
    <w:qFormat/>
    <w:pPr>
      <w:spacing w:after="120" w:line="360" w:lineRule="auto"/>
      <w:jc w:val="both"/>
    </w:pPr>
  </w:style>
  <w:style w:type="paragraph" w:customStyle="1" w:styleId="Compact">
    <w:name w:val="Compact"/>
    <w:basedOn w:val="Normal"/>
    <w:qFormat/>
    <w:pPr>
      <w:spacing w:before="40" w:after="40"/>
    </w:pPr>
    <w:rPr>
      <w:sz w:val="22"/>
      <w:szCs w:val="22"/>
    </w:rPr>
  </w:style>
  <w:style w:type="paragraph" w:styleId="Title">
    <w:name w:val="Title"/>
    <w:basedOn w:val="Normal"/>
    <w:next w:val="BodyText"/>
    <w:qFormat/>
    <w:pPr>
      <w:keepNext/>
      <w:spacing w:after="360" w:line="276" w:lineRule="auto"/>
      <w:jc w:val="center"/>
    </w:pPr>
    <w:rPr>
      <w:b/>
      <w:bCs/>
      <w:sz w:val="34"/>
      <w:szCs w:val="34"/>
    </w:rPr>
  </w:style>
  <w:style w:type="paragraph" w:styleId="Subtitle">
    <w:name w:val="Subtitle"/>
    <w:basedOn w:val="Title"/>
    <w:next w:val="BodyText"/>
    <w:qFormat/>
    <w:pPr>
      <w:keepLines/>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Normal"/>
    <w:pPr>
      <w:keepNext/>
      <w:spacing w:before="240" w:after="100" w:line="252" w:lineRule="auto"/>
      <w:jc w:val="center"/>
    </w:pPr>
    <w:rPr>
      <w:sz w:val="21"/>
      <w:szCs w:val="21"/>
    </w:rPr>
  </w:style>
  <w:style w:type="paragraph" w:customStyle="1" w:styleId="ImageCaption">
    <w:name w:val="Image Caption"/>
    <w:basedOn w:val="Normal"/>
    <w:pPr>
      <w:spacing w:before="80" w:after="280" w:line="252" w:lineRule="auto"/>
      <w:jc w:val="center"/>
    </w:pPr>
    <w:rPr>
      <w:sz w:val="21"/>
      <w:szCs w:val="21"/>
    </w:rPr>
  </w:style>
  <w:style w:type="paragraph" w:customStyle="1" w:styleId="Figure">
    <w:name w:val="Figure"/>
    <w:basedOn w:val="Normal"/>
  </w:style>
  <w:style w:type="paragraph" w:customStyle="1" w:styleId="CaptionedFigure">
    <w:name w:val="Captioned Figure"/>
    <w:basedOn w:val="Normal"/>
    <w:pPr>
      <w:keepNext/>
      <w:spacing w:before="200"/>
      <w:jc w:val="center"/>
    </w:pPr>
  </w:style>
  <w:style w:type="character" w:customStyle="1" w:styleId="CaptionChar">
    <w:name w:val="Caption Char"/>
    <w:basedOn w:val="DefaultParagraphFont"/>
    <w:link w:val="Caption"/>
  </w:style>
  <w:style w:type="character" w:customStyle="1" w:styleId="VerbatimChar">
    <w:name w:val="Verbatim Char"/>
    <w:link w:val="SourceCode"/>
    <w:rPr>
      <w:rFonts w:ascii="Courier New" w:eastAsia="Courier New" w:hAnsi="Courier New" w:cs="Courier New"/>
      <w:sz w:val="20"/>
      <w:szCs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AbstractBody">
    <w:name w:val="AbstractBody"/>
    <w:basedOn w:val="Normal"/>
    <w:qFormat/>
    <w:pPr>
      <w:spacing w:after="100" w:line="276" w:lineRule="auto"/>
      <w:ind w:left="567" w:right="567"/>
      <w:jc w:val="both"/>
    </w:pPr>
    <w:rPr>
      <w:sz w:val="22"/>
      <w:szCs w:val="22"/>
    </w:rPr>
  </w:style>
  <w:style w:type="paragraph" w:customStyle="1" w:styleId="AbstractHeading">
    <w:name w:val="AbstractHeading"/>
    <w:basedOn w:val="Normal"/>
    <w:qFormat/>
    <w:pPr>
      <w:keepNext/>
      <w:spacing w:before="120" w:after="120"/>
      <w:jc w:val="center"/>
    </w:pPr>
    <w:rPr>
      <w:b/>
      <w:bCs/>
    </w:rPr>
  </w:style>
  <w:style w:type="paragraph" w:customStyle="1" w:styleId="EqNum">
    <w:name w:val="EqNum"/>
    <w:basedOn w:val="Normal"/>
    <w:qFormat/>
    <w:pPr>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eastAsia="Courier New" w:hAnsi="Courier New" w:cs="Courier New"/>
      <w:b/>
      <w:color w:val="007020"/>
      <w:sz w:val="20"/>
      <w:szCs w:val="20"/>
    </w:rPr>
  </w:style>
  <w:style w:type="character" w:customStyle="1" w:styleId="DataTypeTok">
    <w:name w:val="DataTypeTok"/>
    <w:basedOn w:val="VerbatimChar"/>
    <w:rPr>
      <w:rFonts w:ascii="Courier New" w:eastAsia="Courier New" w:hAnsi="Courier New" w:cs="Courier New"/>
      <w:color w:val="902000"/>
      <w:sz w:val="20"/>
      <w:szCs w:val="20"/>
    </w:rPr>
  </w:style>
  <w:style w:type="character" w:customStyle="1" w:styleId="DecValTok">
    <w:name w:val="DecValTok"/>
    <w:basedOn w:val="VerbatimChar"/>
    <w:rPr>
      <w:rFonts w:ascii="Courier New" w:eastAsia="Courier New" w:hAnsi="Courier New" w:cs="Courier New"/>
      <w:color w:val="40A070"/>
      <w:sz w:val="20"/>
      <w:szCs w:val="20"/>
    </w:rPr>
  </w:style>
  <w:style w:type="character" w:customStyle="1" w:styleId="BaseNTok">
    <w:name w:val="BaseNTok"/>
    <w:basedOn w:val="VerbatimChar"/>
    <w:rPr>
      <w:rFonts w:ascii="Courier New" w:eastAsia="Courier New" w:hAnsi="Courier New" w:cs="Courier New"/>
      <w:color w:val="40A070"/>
      <w:sz w:val="20"/>
      <w:szCs w:val="20"/>
    </w:rPr>
  </w:style>
  <w:style w:type="character" w:customStyle="1" w:styleId="FloatTok">
    <w:name w:val="FloatTok"/>
    <w:basedOn w:val="VerbatimChar"/>
    <w:rPr>
      <w:rFonts w:ascii="Courier New" w:eastAsia="Courier New" w:hAnsi="Courier New" w:cs="Courier New"/>
      <w:color w:val="40A070"/>
      <w:sz w:val="20"/>
      <w:szCs w:val="20"/>
    </w:rPr>
  </w:style>
  <w:style w:type="character" w:customStyle="1" w:styleId="ConstantTok">
    <w:name w:val="ConstantTok"/>
    <w:basedOn w:val="VerbatimChar"/>
    <w:rPr>
      <w:rFonts w:ascii="Courier New" w:eastAsia="Courier New" w:hAnsi="Courier New" w:cs="Courier New"/>
      <w:color w:val="880000"/>
      <w:sz w:val="20"/>
      <w:szCs w:val="20"/>
    </w:rPr>
  </w:style>
  <w:style w:type="character" w:customStyle="1" w:styleId="CharTok">
    <w:name w:val="CharTok"/>
    <w:basedOn w:val="VerbatimChar"/>
    <w:rPr>
      <w:rFonts w:ascii="Courier New" w:eastAsia="Courier New" w:hAnsi="Courier New" w:cs="Courier New"/>
      <w:color w:val="4070A0"/>
      <w:sz w:val="20"/>
      <w:szCs w:val="20"/>
    </w:rPr>
  </w:style>
  <w:style w:type="character" w:customStyle="1" w:styleId="SpecialCharTok">
    <w:name w:val="SpecialCharTok"/>
    <w:basedOn w:val="VerbatimChar"/>
    <w:rPr>
      <w:rFonts w:ascii="Courier New" w:eastAsia="Courier New" w:hAnsi="Courier New" w:cs="Courier New"/>
      <w:color w:val="4070A0"/>
      <w:sz w:val="20"/>
      <w:szCs w:val="20"/>
    </w:rPr>
  </w:style>
  <w:style w:type="character" w:customStyle="1" w:styleId="StringTok">
    <w:name w:val="StringTok"/>
    <w:basedOn w:val="VerbatimChar"/>
    <w:rPr>
      <w:rFonts w:ascii="Courier New" w:eastAsia="Courier New" w:hAnsi="Courier New" w:cs="Courier New"/>
      <w:color w:val="4070A0"/>
      <w:sz w:val="20"/>
      <w:szCs w:val="20"/>
    </w:rPr>
  </w:style>
  <w:style w:type="character" w:customStyle="1" w:styleId="VerbatimStringTok">
    <w:name w:val="VerbatimStringTok"/>
    <w:basedOn w:val="VerbatimChar"/>
    <w:rPr>
      <w:rFonts w:ascii="Courier New" w:eastAsia="Courier New" w:hAnsi="Courier New" w:cs="Courier New"/>
      <w:color w:val="4070A0"/>
      <w:sz w:val="20"/>
      <w:szCs w:val="20"/>
    </w:rPr>
  </w:style>
  <w:style w:type="character" w:customStyle="1" w:styleId="SpecialStringTok">
    <w:name w:val="SpecialStringTok"/>
    <w:basedOn w:val="VerbatimChar"/>
    <w:rPr>
      <w:rFonts w:ascii="Courier New" w:eastAsia="Courier New" w:hAnsi="Courier New" w:cs="Courier New"/>
      <w:color w:val="BB6688"/>
      <w:sz w:val="20"/>
      <w:szCs w:val="20"/>
    </w:rPr>
  </w:style>
  <w:style w:type="character" w:customStyle="1" w:styleId="ImportTok">
    <w:name w:val="ImportTok"/>
    <w:basedOn w:val="VerbatimChar"/>
    <w:rPr>
      <w:rFonts w:ascii="Courier New" w:eastAsia="Courier New" w:hAnsi="Courier New" w:cs="Courier New"/>
      <w:b/>
      <w:color w:val="008000"/>
      <w:sz w:val="20"/>
      <w:szCs w:val="20"/>
    </w:rPr>
  </w:style>
  <w:style w:type="character" w:customStyle="1" w:styleId="CommentTok">
    <w:name w:val="CommentTok"/>
    <w:basedOn w:val="VerbatimChar"/>
    <w:rPr>
      <w:rFonts w:ascii="Courier New" w:eastAsia="Courier New" w:hAnsi="Courier New" w:cs="Courier New"/>
      <w:i/>
      <w:color w:val="60A0B0"/>
      <w:sz w:val="20"/>
      <w:szCs w:val="20"/>
    </w:rPr>
  </w:style>
  <w:style w:type="character" w:customStyle="1" w:styleId="DocumentationTok">
    <w:name w:val="DocumentationTok"/>
    <w:basedOn w:val="VerbatimChar"/>
    <w:rPr>
      <w:rFonts w:ascii="Courier New" w:eastAsia="Courier New" w:hAnsi="Courier New" w:cs="Courier New"/>
      <w:i/>
      <w:color w:val="BA2121"/>
      <w:sz w:val="20"/>
      <w:szCs w:val="20"/>
    </w:rPr>
  </w:style>
  <w:style w:type="character" w:customStyle="1" w:styleId="AnnotationTok">
    <w:name w:val="AnnotationTok"/>
    <w:basedOn w:val="VerbatimChar"/>
    <w:rPr>
      <w:rFonts w:ascii="Courier New" w:eastAsia="Courier New" w:hAnsi="Courier New" w:cs="Courier New"/>
      <w:b/>
      <w:i/>
      <w:color w:val="60A0B0"/>
      <w:sz w:val="20"/>
      <w:szCs w:val="20"/>
    </w:rPr>
  </w:style>
  <w:style w:type="character" w:customStyle="1" w:styleId="CommentVarTok">
    <w:name w:val="CommentVarTok"/>
    <w:basedOn w:val="VerbatimChar"/>
    <w:rPr>
      <w:rFonts w:ascii="Courier New" w:eastAsia="Courier New" w:hAnsi="Courier New" w:cs="Courier New"/>
      <w:b/>
      <w:i/>
      <w:color w:val="60A0B0"/>
      <w:sz w:val="20"/>
      <w:szCs w:val="20"/>
    </w:rPr>
  </w:style>
  <w:style w:type="character" w:customStyle="1" w:styleId="OtherTok">
    <w:name w:val="OtherTok"/>
    <w:basedOn w:val="VerbatimChar"/>
    <w:rPr>
      <w:rFonts w:ascii="Courier New" w:eastAsia="Courier New" w:hAnsi="Courier New" w:cs="Courier New"/>
      <w:color w:val="007020"/>
      <w:sz w:val="20"/>
      <w:szCs w:val="20"/>
    </w:rPr>
  </w:style>
  <w:style w:type="character" w:customStyle="1" w:styleId="FunctionTok">
    <w:name w:val="FunctionTok"/>
    <w:basedOn w:val="VerbatimChar"/>
    <w:rPr>
      <w:rFonts w:ascii="Courier New" w:eastAsia="Courier New" w:hAnsi="Courier New" w:cs="Courier New"/>
      <w:color w:val="06287E"/>
      <w:sz w:val="20"/>
      <w:szCs w:val="20"/>
    </w:rPr>
  </w:style>
  <w:style w:type="character" w:customStyle="1" w:styleId="VariableTok">
    <w:name w:val="VariableTok"/>
    <w:basedOn w:val="VerbatimChar"/>
    <w:rPr>
      <w:rFonts w:ascii="Courier New" w:eastAsia="Courier New" w:hAnsi="Courier New" w:cs="Courier New"/>
      <w:color w:val="19177C"/>
      <w:sz w:val="20"/>
      <w:szCs w:val="20"/>
    </w:rPr>
  </w:style>
  <w:style w:type="character" w:customStyle="1" w:styleId="ControlFlowTok">
    <w:name w:val="ControlFlowTok"/>
    <w:basedOn w:val="VerbatimChar"/>
    <w:rPr>
      <w:rFonts w:ascii="Courier New" w:eastAsia="Courier New" w:hAnsi="Courier New" w:cs="Courier New"/>
      <w:b/>
      <w:color w:val="007020"/>
      <w:sz w:val="20"/>
      <w:szCs w:val="20"/>
    </w:rPr>
  </w:style>
  <w:style w:type="character" w:customStyle="1" w:styleId="OperatorTok">
    <w:name w:val="OperatorTok"/>
    <w:basedOn w:val="VerbatimChar"/>
    <w:rPr>
      <w:rFonts w:ascii="Courier New" w:eastAsia="Courier New" w:hAnsi="Courier New" w:cs="Courier New"/>
      <w:color w:val="666666"/>
      <w:sz w:val="20"/>
      <w:szCs w:val="20"/>
    </w:rPr>
  </w:style>
  <w:style w:type="character" w:customStyle="1" w:styleId="BuiltInTok">
    <w:name w:val="BuiltInTok"/>
    <w:basedOn w:val="VerbatimChar"/>
    <w:rPr>
      <w:rFonts w:ascii="Courier New" w:eastAsia="Courier New" w:hAnsi="Courier New" w:cs="Courier New"/>
      <w:color w:val="008000"/>
      <w:sz w:val="20"/>
      <w:szCs w:val="20"/>
    </w:rPr>
  </w:style>
  <w:style w:type="character" w:customStyle="1" w:styleId="ExtensionTok">
    <w:name w:val="ExtensionTok"/>
    <w:basedOn w:val="VerbatimChar"/>
    <w:rPr>
      <w:rFonts w:ascii="Courier New" w:eastAsia="Courier New" w:hAnsi="Courier New" w:cs="Courier New"/>
      <w:sz w:val="20"/>
      <w:szCs w:val="20"/>
    </w:rPr>
  </w:style>
  <w:style w:type="character" w:customStyle="1" w:styleId="PreprocessorTok">
    <w:name w:val="PreprocessorTok"/>
    <w:basedOn w:val="VerbatimChar"/>
    <w:rPr>
      <w:rFonts w:ascii="Courier New" w:eastAsia="Courier New" w:hAnsi="Courier New" w:cs="Courier New"/>
      <w:color w:val="BC7A00"/>
      <w:sz w:val="20"/>
      <w:szCs w:val="20"/>
    </w:rPr>
  </w:style>
  <w:style w:type="character" w:customStyle="1" w:styleId="AttributeTok">
    <w:name w:val="AttributeTok"/>
    <w:basedOn w:val="VerbatimChar"/>
    <w:rPr>
      <w:rFonts w:ascii="Courier New" w:eastAsia="Courier New" w:hAnsi="Courier New" w:cs="Courier New"/>
      <w:color w:val="7D9029"/>
      <w:sz w:val="20"/>
      <w:szCs w:val="20"/>
    </w:rPr>
  </w:style>
  <w:style w:type="character" w:customStyle="1" w:styleId="RegionMarkerTok">
    <w:name w:val="RegionMarkerTok"/>
    <w:basedOn w:val="VerbatimChar"/>
    <w:rPr>
      <w:rFonts w:ascii="Courier New" w:eastAsia="Courier New" w:hAnsi="Courier New" w:cs="Courier New"/>
      <w:sz w:val="20"/>
      <w:szCs w:val="20"/>
    </w:rPr>
  </w:style>
  <w:style w:type="character" w:customStyle="1" w:styleId="InformationTok">
    <w:name w:val="InformationTok"/>
    <w:basedOn w:val="VerbatimChar"/>
    <w:rPr>
      <w:rFonts w:ascii="Courier New" w:eastAsia="Courier New" w:hAnsi="Courier New" w:cs="Courier New"/>
      <w:b/>
      <w:i/>
      <w:color w:val="60A0B0"/>
      <w:sz w:val="20"/>
      <w:szCs w:val="20"/>
    </w:rPr>
  </w:style>
  <w:style w:type="character" w:customStyle="1" w:styleId="WarningTok">
    <w:name w:val="WarningTok"/>
    <w:basedOn w:val="VerbatimChar"/>
    <w:rPr>
      <w:rFonts w:ascii="Courier New" w:eastAsia="Courier New" w:hAnsi="Courier New" w:cs="Courier New"/>
      <w:b/>
      <w:i/>
      <w:color w:val="60A0B0"/>
      <w:sz w:val="20"/>
      <w:szCs w:val="20"/>
    </w:rPr>
  </w:style>
  <w:style w:type="character" w:customStyle="1" w:styleId="AlertTok">
    <w:name w:val="AlertTok"/>
    <w:basedOn w:val="VerbatimChar"/>
    <w:rPr>
      <w:rFonts w:ascii="Courier New" w:eastAsia="Courier New" w:hAnsi="Courier New" w:cs="Courier New"/>
      <w:b/>
      <w:color w:val="FF0000"/>
      <w:sz w:val="20"/>
      <w:szCs w:val="20"/>
    </w:rPr>
  </w:style>
  <w:style w:type="character" w:customStyle="1" w:styleId="ErrorTok">
    <w:name w:val="ErrorTok"/>
    <w:basedOn w:val="VerbatimChar"/>
    <w:rPr>
      <w:rFonts w:ascii="Courier New" w:eastAsia="Courier New" w:hAnsi="Courier New" w:cs="Courier New"/>
      <w:b/>
      <w:color w:val="FF0000"/>
      <w:sz w:val="20"/>
      <w:szCs w:val="20"/>
    </w:rPr>
  </w:style>
  <w:style w:type="character" w:customStyle="1" w:styleId="NormalTok">
    <w:name w:val="NormalTok"/>
    <w:basedOn w:val="VerbatimChar"/>
    <w:rPr>
      <w:rFonts w:ascii="Courier New" w:eastAsia="Courier New" w:hAnsi="Courier New" w:cs="Courier New"/>
      <w:sz w:val="20"/>
      <w:szCs w:val="20"/>
    </w:rPr>
  </w:style>
  <w:style w:type="paragraph" w:customStyle="1" w:styleId="EquationDisplay">
    <w:name w:val="Equation Display"/>
    <w:basedOn w:val="Normal"/>
    <w:qFormat/>
    <w:pPr>
      <w:keepLines/>
      <w:spacing w:before="120" w:after="120"/>
      <w:jc w:val="center"/>
    </w:pPr>
  </w:style>
  <w:style w:type="paragraph" w:customStyle="1" w:styleId="EquationNumber">
    <w:name w:val="Equation Number"/>
    <w:basedOn w:val="Normal"/>
    <w:qFormat/>
    <w:pPr>
      <w:jc w:val="right"/>
    </w:pPr>
  </w:style>
  <w:style w:type="character" w:styleId="UnresolvedMention">
    <w:name w:val="Unresolved Mention"/>
    <w:basedOn w:val="DefaultParagraphFont"/>
    <w:uiPriority w:val="99"/>
    <w:semiHidden/>
    <w:unhideWhenUsed/>
    <w:rsid w:val="00F45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RAN.R-project.org/package=surviva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27</Pages>
  <Words>5218</Words>
  <Characters>29746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Survival Analysis of Primary Biliary Cirrhosis Patients Using Kaplan–Meier and Cox Proportional Hazards Models</vt:lpstr>
    </vt:vector>
  </TitlesOfParts>
  <Company/>
  <LinksUpToDate>false</LinksUpToDate>
  <CharactersWithSpaces>34895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Survival Analysis of Primary Biliary Cirrhosis Patients Using Kaplan–Meier and Cox Proportional Hazards Models</dc:title>
  <dc:creator/>
  <cp:keywords/>
  <dc:description/>
  <cp:lastModifiedBy>Baban Babai Jui</cp:lastModifiedBy>
  <cp:revision>2</cp:revision>
  <dcterms:created xsi:type="dcterms:W3CDTF">2026-10-03T21:01:00Z</dcterms:created>
  <dcterms:modified xsi:type="dcterms:W3CDTF">2026-10-03T21:21:00Z</dcterms:modified>
</cp:coreProperties>
</file>