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Salesforce ↔ SAP — Business Integration Points</w:t>
      </w:r>
    </w:p>
    <w:p>
      <w:pPr>
        <w:jc w:val="center"/>
      </w:pPr>
      <w:r>
        <w:rPr>
          <w:i/>
          <w:color w:val="595959"/>
          <w:sz w:val="22"/>
        </w:rPr>
        <w:t>What flows between Salesforce and SAP at each step of the Wheels India business process</w:t>
      </w:r>
    </w:p>
    <w:p/>
    <w:p>
      <w:pPr>
        <w:spacing w:before="280" w:after="120"/>
      </w:pPr>
      <w:r>
        <w:rPr>
          <w:b/>
          <w:color w:val="1F3864"/>
          <w:sz w:val="32"/>
        </w:rPr>
        <w:t>The principle</w:t>
      </w:r>
    </w:p>
    <w:p>
      <w:r>
        <w:t>SAP stays the single source of truth for everything that is real — the product master, vendor list, work centres, sales orders, invoices, GRN and payment status. Salesforce owns everything that is customer-facing — leads, RFQs, quotes and the NPD workflow. Wherever these two worlds meet, the connection is described below in plain business terms: what is exchanged, who benefits, and what it replaces.</w:t>
      </w:r>
    </w:p>
    <w:p>
      <w:pPr>
        <w:spacing w:before="280" w:after="120"/>
      </w:pPr>
      <w:r>
        <w:rPr>
          <w:b/>
          <w:color w:val="1F3864"/>
          <w:sz w:val="32"/>
        </w:rPr>
        <w:t>Business touchpoints</w:t>
      </w:r>
    </w:p>
    <w:p>
      <w:pPr>
        <w:spacing w:before="280" w:after="120"/>
      </w:pPr>
      <w:r>
        <w:rPr>
          <w:b/>
          <w:color w:val="1F7A1F"/>
          <w:sz w:val="26"/>
        </w:rPr>
        <w:t>1. Engineering pulls existing part information while building the BOM</w:t>
      </w:r>
    </w:p>
    <w:p>
      <w:r>
        <w:rPr>
          <w:b/>
        </w:rPr>
        <w:t xml:space="preserve">What flows: </w:t>
      </w:r>
      <w:r>
        <w:t>When Engineering enters a part number in the BOM, its price, description and specification appear automatically from SAP. Only genuinely new parts stay blank.</w:t>
      </w:r>
    </w:p>
    <w:p>
      <w:r>
        <w:rPr>
          <w:b/>
        </w:rPr>
        <w:t xml:space="preserve">Business value: </w:t>
      </w:r>
      <w:r>
        <w:t>What it replaces: today engineers copy-paste from Excel or re-key from SAP. This removes that step, and removes the errors that come with it.</w:t>
      </w:r>
    </w:p>
    <w:p>
      <w:pPr>
        <w:spacing w:before="280" w:after="120"/>
      </w:pPr>
      <w:r>
        <w:rPr>
          <w:b/>
          <w:color w:val="1F7A1F"/>
          <w:sz w:val="26"/>
        </w:rPr>
        <w:t>2. Procurement fills price only for the new parts</w:t>
      </w:r>
    </w:p>
    <w:p>
      <w:r>
        <w:rPr>
          <w:b/>
        </w:rPr>
        <w:t xml:space="preserve">What flows: </w:t>
      </w:r>
      <w:r>
        <w:t>The parts left blank by SAP are the ones procurement needs to price. Vendor names come from SAP's vendor master; procurement picks and enters the negotiated price.</w:t>
      </w:r>
    </w:p>
    <w:p>
      <w:r>
        <w:rPr>
          <w:b/>
        </w:rPr>
        <w:t xml:space="preserve">Business value: </w:t>
      </w:r>
      <w:r>
        <w:t>What it replaces: procurement no longer keeps its own vendor list; there is no risk of quoting against a vendor that is not in SAP.</w:t>
      </w:r>
    </w:p>
    <w:p>
      <w:pPr>
        <w:spacing w:before="280" w:after="120"/>
      </w:pPr>
      <w:r>
        <w:rPr>
          <w:b/>
          <w:color w:val="1F7A1F"/>
          <w:sz w:val="26"/>
        </w:rPr>
        <w:t>3. Manufacturing uses live SAP activity rates for cycle time costing</w:t>
      </w:r>
    </w:p>
    <w:p>
      <w:r>
        <w:rPr>
          <w:b/>
        </w:rPr>
        <w:t xml:space="preserve">What flows: </w:t>
      </w:r>
      <w:r>
        <w:t>When manufacturing selects a work centre and enters cycle time, the current activity rate is pulled from SAP so the costing reflects the real rate on the day the quote is prepared.</w:t>
      </w:r>
    </w:p>
    <w:p>
      <w:r>
        <w:rPr>
          <w:b/>
        </w:rPr>
        <w:t xml:space="preserve">Business value: </w:t>
      </w:r>
      <w:r>
        <w:t>What it replaces: manual look-ups against a monthly rate sheet that goes stale.</w:t>
      </w:r>
    </w:p>
    <w:p>
      <w:pPr>
        <w:spacing w:before="280" w:after="120"/>
      </w:pPr>
      <w:r>
        <w:rPr>
          <w:b/>
          <w:color w:val="1F7A1F"/>
          <w:sz w:val="26"/>
        </w:rPr>
        <w:t>4. Approved NPD parts are pushed back to SAP</w:t>
      </w:r>
    </w:p>
    <w:p>
      <w:r>
        <w:rPr>
          <w:b/>
        </w:rPr>
        <w:t xml:space="preserve">What flows: </w:t>
      </w:r>
      <w:r>
        <w:t>Once costing is approved, the new part number and its details are pushed back to SAP so the same part can be invoiced, produced and tracked in the ERP as a standard master record.</w:t>
      </w:r>
    </w:p>
    <w:p>
      <w:r>
        <w:rPr>
          <w:b/>
        </w:rPr>
        <w:t xml:space="preserve">Business value: </w:t>
      </w:r>
      <w:r>
        <w:t>What it replaces: today a new part is manually created in SAP after the fact, sometimes with a different code than the one used in the quote — the two-numbering-system problem the team decided to end.</w:t>
      </w:r>
    </w:p>
    <w:p>
      <w:pPr>
        <w:spacing w:before="280" w:after="120"/>
      </w:pPr>
      <w:r>
        <w:rPr>
          <w:b/>
          <w:color w:val="1F7A1F"/>
          <w:sz w:val="26"/>
        </w:rPr>
        <w:t>5. Customer PO is recorded once, and creates the Sales Order in SAP</w:t>
      </w:r>
    </w:p>
    <w:p>
      <w:r>
        <w:rPr>
          <w:b/>
        </w:rPr>
        <w:t xml:space="preserve">What flows: </w:t>
      </w:r>
      <w:r>
        <w:t>When the customer's PO is recorded in Salesforce (PO number, quantity, delivery date, expiry), it triggers the Sales Order in SAP against the same PO number and validates that quantity does not exceed the PO and that the date is within the PO expiry.</w:t>
      </w:r>
    </w:p>
    <w:p>
      <w:r>
        <w:rPr>
          <w:b/>
        </w:rPr>
        <w:t xml:space="preserve">Business value: </w:t>
      </w:r>
      <w:r>
        <w:t>What it replaces: today the sales-order clerk can create anything in SAP; wrong PO numbers and over-supply against a PO happen. This closes that gap.</w:t>
      </w:r>
    </w:p>
    <w:p>
      <w:pPr>
        <w:spacing w:before="280" w:after="120"/>
      </w:pPr>
      <w:r>
        <w:rPr>
          <w:b/>
          <w:color w:val="1F7A1F"/>
          <w:sz w:val="26"/>
        </w:rPr>
        <w:t>6. Invoices raised in SAP appear in Salesforce against the RFQ</w:t>
      </w:r>
    </w:p>
    <w:p>
      <w:r>
        <w:rPr>
          <w:b/>
        </w:rPr>
        <w:t xml:space="preserve">What flows: </w:t>
      </w:r>
      <w:r>
        <w:t>Whenever finance raises an invoice in SAP, it shows up in the Salesforce record for that RFQ, tagged to the same PO.</w:t>
      </w:r>
    </w:p>
    <w:p>
      <w:r>
        <w:rPr>
          <w:b/>
        </w:rPr>
        <w:t xml:space="preserve">Business value: </w:t>
      </w:r>
      <w:r>
        <w:t>What it replaces: today the sales team has to ask finance or wait for the CFO's PowerPoint to know whether an invoice has been raised.</w:t>
      </w:r>
    </w:p>
    <w:p>
      <w:pPr>
        <w:spacing w:before="280" w:after="120"/>
      </w:pPr>
      <w:r>
        <w:rPr>
          <w:b/>
          <w:color w:val="1F7A1F"/>
          <w:sz w:val="26"/>
        </w:rPr>
        <w:t>7. GRN date from SAP starts the payment clock in Salesforce</w:t>
      </w:r>
    </w:p>
    <w:p>
      <w:r>
        <w:rPr>
          <w:b/>
        </w:rPr>
        <w:t xml:space="preserve">What flows: </w:t>
      </w:r>
      <w:r>
        <w:t>When the customer confirms receipt and GRN is posted (through Catapult or manually in SAP), that date flows into Salesforce and sets the countdown against the customer's payment term (30 / 60 / 90 days).</w:t>
      </w:r>
    </w:p>
    <w:p>
      <w:r>
        <w:rPr>
          <w:b/>
        </w:rPr>
        <w:t xml:space="preserve">Business value: </w:t>
      </w:r>
      <w:r>
        <w:t>What it replaces: today nobody in sales knows exactly when the clock started; escalations are late.</w:t>
      </w:r>
    </w:p>
    <w:p>
      <w:pPr>
        <w:spacing w:before="280" w:after="120"/>
      </w:pPr>
      <w:r>
        <w:rPr>
          <w:b/>
          <w:color w:val="1F7A1F"/>
          <w:sz w:val="26"/>
        </w:rPr>
        <w:t>8. Payment receipts from SAP close the loop</w:t>
      </w:r>
    </w:p>
    <w:p>
      <w:r>
        <w:rPr>
          <w:b/>
        </w:rPr>
        <w:t xml:space="preserve">What flows: </w:t>
      </w:r>
      <w:r>
        <w:t>When finance records a payment in SAP, it clears the corresponding invoice in Salesforce so the RFQ cycle is marked complete and revenue milestones (PO → Invoice → Payment) are all visible in one place.</w:t>
      </w:r>
    </w:p>
    <w:p>
      <w:r>
        <w:rPr>
          <w:b/>
        </w:rPr>
        <w:t xml:space="preserve">Business value: </w:t>
      </w:r>
      <w:r>
        <w:t>What it replaces: separate collections tracker maintained outside SAP.</w:t>
      </w:r>
    </w:p>
    <w:p>
      <w:pPr>
        <w:spacing w:before="280" w:after="120"/>
      </w:pPr>
      <w:r>
        <w:rPr>
          <w:b/>
          <w:color w:val="1F7A1F"/>
          <w:sz w:val="26"/>
        </w:rPr>
        <w:t>9. Part-level revenue history in Account 360</w:t>
      </w:r>
    </w:p>
    <w:p>
      <w:r>
        <w:rPr>
          <w:b/>
        </w:rPr>
        <w:t xml:space="preserve">What flows: </w:t>
      </w:r>
      <w:r>
        <w:t>Total quantity dispatched and revenue against each part, per customer, per year, is pulled from SAP into the Account 360 view in Salesforce. This gives the sales rep three-year history at a glance when re-quoting the same customer.</w:t>
      </w:r>
    </w:p>
    <w:p>
      <w:r>
        <w:rPr>
          <w:b/>
        </w:rPr>
        <w:t xml:space="preserve">Business value: </w:t>
      </w:r>
      <w:r>
        <w:t>What it replaces: manually running SAP reports to check what a part was sold for last time.</w:t>
      </w:r>
    </w:p>
    <w:p>
      <w:pPr>
        <w:spacing w:before="280" w:after="120"/>
      </w:pPr>
      <w:r>
        <w:rPr>
          <w:b/>
          <w:color w:val="1F7A1F"/>
          <w:sz w:val="26"/>
        </w:rPr>
        <w:t>10. Six-monthly price revision uses SAP part data as the base</w:t>
      </w:r>
    </w:p>
    <w:p>
      <w:r>
        <w:rPr>
          <w:b/>
        </w:rPr>
        <w:t xml:space="preserve">What flows: </w:t>
      </w:r>
      <w:r>
        <w:t>The base index captured on the quote is stored in Salesforce. Every six months, when the current index is uploaded, Salesforce recalculates the revised price for every affected part and generates the customer-facing price sheet — pulling the current part list from SAP so nothing is missed.</w:t>
      </w:r>
    </w:p>
    <w:p>
      <w:r>
        <w:rPr>
          <w:b/>
        </w:rPr>
        <w:t xml:space="preserve">Business value: </w:t>
      </w:r>
      <w:r>
        <w:t>What it replaces: manual Excel exercise that today misses parts and where price corrections get delayed.</w:t>
      </w:r>
    </w:p>
    <w:p>
      <w:pPr>
        <w:spacing w:before="280" w:after="120"/>
      </w:pPr>
      <w:r>
        <w:rPr>
          <w:b/>
          <w:color w:val="1F3864"/>
          <w:sz w:val="32"/>
        </w:rPr>
        <w:t>At a glance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864"/>
          </w:tcPr>
          <w:p>
            <w:r>
              <w:rPr>
                <w:b/>
                <w:color w:val="FFFFFF"/>
              </w:rPr>
              <w:t>Business moment</w:t>
            </w:r>
          </w:p>
        </w:tc>
        <w:tc>
          <w:tcPr>
            <w:tcW w:type="dxa" w:w="3324"/>
            <w:shd w:val="clear" w:color="auto" w:fill="1F3864"/>
          </w:tcPr>
          <w:p>
            <w:r>
              <w:rPr>
                <w:b/>
                <w:color w:val="FFFFFF"/>
              </w:rPr>
              <w:t>What SAP provides</w:t>
            </w:r>
          </w:p>
        </w:tc>
        <w:tc>
          <w:tcPr>
            <w:tcW w:type="dxa" w:w="3324"/>
            <w:shd w:val="clear" w:color="auto" w:fill="1F3864"/>
          </w:tcPr>
          <w:p>
            <w:r>
              <w:rPr>
                <w:b/>
                <w:color w:val="FFFFFF"/>
              </w:rPr>
              <w:t>Who benefits</w:t>
            </w:r>
          </w:p>
        </w:tc>
      </w:tr>
      <w:tr>
        <w:tc>
          <w:tcPr>
            <w:tcW w:type="dxa" w:w="3324"/>
          </w:tcPr>
          <w:p>
            <w:r>
              <w:t>BOM creation</w:t>
            </w:r>
          </w:p>
        </w:tc>
        <w:tc>
          <w:tcPr>
            <w:tcW w:type="dxa" w:w="3324"/>
          </w:tcPr>
          <w:p>
            <w:r>
              <w:t>Existing part price and spec</w:t>
            </w:r>
          </w:p>
        </w:tc>
        <w:tc>
          <w:tcPr>
            <w:tcW w:type="dxa" w:w="3324"/>
          </w:tcPr>
          <w:p>
            <w:r>
              <w:t>Engineering</w:t>
            </w:r>
          </w:p>
        </w:tc>
      </w:tr>
      <w:tr>
        <w:tc>
          <w:tcPr>
            <w:tcW w:type="dxa" w:w="3324"/>
          </w:tcPr>
          <w:p>
            <w:r>
              <w:t>Procurement pricing</w:t>
            </w:r>
          </w:p>
        </w:tc>
        <w:tc>
          <w:tcPr>
            <w:tcW w:type="dxa" w:w="3324"/>
          </w:tcPr>
          <w:p>
            <w:r>
              <w:t>Vendor master</w:t>
            </w:r>
          </w:p>
        </w:tc>
        <w:tc>
          <w:tcPr>
            <w:tcW w:type="dxa" w:w="3324"/>
          </w:tcPr>
          <w:p>
            <w:r>
              <w:t>Procurement</w:t>
            </w:r>
          </w:p>
        </w:tc>
      </w:tr>
      <w:tr>
        <w:tc>
          <w:tcPr>
            <w:tcW w:type="dxa" w:w="3324"/>
          </w:tcPr>
          <w:p>
            <w:r>
              <w:t>Manufacturing cost</w:t>
            </w:r>
          </w:p>
        </w:tc>
        <w:tc>
          <w:tcPr>
            <w:tcW w:type="dxa" w:w="3324"/>
          </w:tcPr>
          <w:p>
            <w:r>
              <w:t>Work centre + activity rate</w:t>
            </w:r>
          </w:p>
        </w:tc>
        <w:tc>
          <w:tcPr>
            <w:tcW w:type="dxa" w:w="3324"/>
          </w:tcPr>
          <w:p>
            <w:r>
              <w:t>Manufacturing / Costing</w:t>
            </w:r>
          </w:p>
        </w:tc>
      </w:tr>
      <w:tr>
        <w:tc>
          <w:tcPr>
            <w:tcW w:type="dxa" w:w="3324"/>
          </w:tcPr>
          <w:p>
            <w:r>
              <w:t>NPD sign-off</w:t>
            </w:r>
          </w:p>
        </w:tc>
        <w:tc>
          <w:tcPr>
            <w:tcW w:type="dxa" w:w="3324"/>
          </w:tcPr>
          <w:p>
            <w:r>
              <w:t>Receives new part back</w:t>
            </w:r>
          </w:p>
        </w:tc>
        <w:tc>
          <w:tcPr>
            <w:tcW w:type="dxa" w:w="3324"/>
          </w:tcPr>
          <w:p>
            <w:r>
              <w:t>ERP team / Finance</w:t>
            </w:r>
          </w:p>
        </w:tc>
      </w:tr>
      <w:tr>
        <w:tc>
          <w:tcPr>
            <w:tcW w:type="dxa" w:w="3324"/>
          </w:tcPr>
          <w:p>
            <w:r>
              <w:t>PO recorded</w:t>
            </w:r>
          </w:p>
        </w:tc>
        <w:tc>
          <w:tcPr>
            <w:tcW w:type="dxa" w:w="3324"/>
          </w:tcPr>
          <w:p>
            <w:r>
              <w:t>Creates matching Sales Order</w:t>
            </w:r>
          </w:p>
        </w:tc>
        <w:tc>
          <w:tcPr>
            <w:tcW w:type="dxa" w:w="3324"/>
          </w:tcPr>
          <w:p>
            <w:r>
              <w:t>Sales / SAP order desk</w:t>
            </w:r>
          </w:p>
        </w:tc>
      </w:tr>
      <w:tr>
        <w:tc>
          <w:tcPr>
            <w:tcW w:type="dxa" w:w="3324"/>
          </w:tcPr>
          <w:p>
            <w:r>
              <w:t>Invoice</w:t>
            </w:r>
          </w:p>
        </w:tc>
        <w:tc>
          <w:tcPr>
            <w:tcW w:type="dxa" w:w="3324"/>
          </w:tcPr>
          <w:p>
            <w:r>
              <w:t>Invoice raised</w:t>
            </w:r>
          </w:p>
        </w:tc>
        <w:tc>
          <w:tcPr>
            <w:tcW w:type="dxa" w:w="3324"/>
          </w:tcPr>
          <w:p>
            <w:r>
              <w:t>Sales / Finance</w:t>
            </w:r>
          </w:p>
        </w:tc>
      </w:tr>
      <w:tr>
        <w:tc>
          <w:tcPr>
            <w:tcW w:type="dxa" w:w="3324"/>
          </w:tcPr>
          <w:p>
            <w:r>
              <w:t>GRN</w:t>
            </w:r>
          </w:p>
        </w:tc>
        <w:tc>
          <w:tcPr>
            <w:tcW w:type="dxa" w:w="3324"/>
          </w:tcPr>
          <w:p>
            <w:r>
              <w:t>GRN date</w:t>
            </w:r>
          </w:p>
        </w:tc>
        <w:tc>
          <w:tcPr>
            <w:tcW w:type="dxa" w:w="3324"/>
          </w:tcPr>
          <w:p>
            <w:r>
              <w:t>Collections</w:t>
            </w:r>
          </w:p>
        </w:tc>
      </w:tr>
      <w:tr>
        <w:tc>
          <w:tcPr>
            <w:tcW w:type="dxa" w:w="3324"/>
          </w:tcPr>
          <w:p>
            <w:r>
              <w:t>Payment</w:t>
            </w:r>
          </w:p>
        </w:tc>
        <w:tc>
          <w:tcPr>
            <w:tcW w:type="dxa" w:w="3324"/>
          </w:tcPr>
          <w:p>
            <w:r>
              <w:t>Payment receipt</w:t>
            </w:r>
          </w:p>
        </w:tc>
        <w:tc>
          <w:tcPr>
            <w:tcW w:type="dxa" w:w="3324"/>
          </w:tcPr>
          <w:p>
            <w:r>
              <w:t>Finance / Sales</w:t>
            </w:r>
          </w:p>
        </w:tc>
      </w:tr>
      <w:tr>
        <w:tc>
          <w:tcPr>
            <w:tcW w:type="dxa" w:w="3324"/>
          </w:tcPr>
          <w:p>
            <w:r>
              <w:t>Account 360</w:t>
            </w:r>
          </w:p>
        </w:tc>
        <w:tc>
          <w:tcPr>
            <w:tcW w:type="dxa" w:w="3324"/>
          </w:tcPr>
          <w:p>
            <w:r>
              <w:t>Historical part revenue</w:t>
            </w:r>
          </w:p>
        </w:tc>
        <w:tc>
          <w:tcPr>
            <w:tcW w:type="dxa" w:w="3324"/>
          </w:tcPr>
          <w:p>
            <w:r>
              <w:t>Sales rep</w:t>
            </w:r>
          </w:p>
        </w:tc>
      </w:tr>
      <w:tr>
        <w:tc>
          <w:tcPr>
            <w:tcW w:type="dxa" w:w="3324"/>
          </w:tcPr>
          <w:p>
            <w:r>
              <w:t>6-monthly repricing</w:t>
            </w:r>
          </w:p>
        </w:tc>
        <w:tc>
          <w:tcPr>
            <w:tcW w:type="dxa" w:w="3324"/>
          </w:tcPr>
          <w:p>
            <w:r>
              <w:t>Current part list + prices</w:t>
            </w:r>
          </w:p>
        </w:tc>
        <w:tc>
          <w:tcPr>
            <w:tcW w:type="dxa" w:w="3324"/>
          </w:tcPr>
          <w:p>
            <w:r>
              <w:t>Sales / Costing</w:t>
            </w:r>
          </w:p>
        </w:tc>
      </w:tr>
    </w:tbl>
    <w:p/>
    <w:p>
      <w:pPr>
        <w:spacing w:before="280" w:after="120"/>
      </w:pPr>
      <w:r>
        <w:rPr>
          <w:b/>
          <w:color w:val="1F3864"/>
          <w:sz w:val="32"/>
        </w:rPr>
        <w:t>Ground rule</w:t>
      </w:r>
    </w:p>
    <w:p>
      <w:r>
        <w:t>Nothing in Salesforce overrides SAP. Where a value exists in SAP, Salesforce shows it — it does not recompute it. Where a value is created in Salesforce (a quote, an RFQ, a customer PO record), and it needs to become an actual in SAP (a sales order, a new part master), Salesforce pushes it once and SAP takes over from there.</w:t>
      </w:r>
    </w:p>
    <w:p>
      <w:pPr>
        <w:jc w:val="center"/>
      </w:pPr>
      <w:r>
        <w:rPr>
          <w:i/>
          <w:color w:val="969696"/>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