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Salesforce ↔ SAP Integration</w:t>
      </w:r>
    </w:p>
    <w:p>
      <w:pPr>
        <w:jc w:val="center"/>
      </w:pPr>
      <w:r>
        <w:rPr>
          <w:i/>
          <w:color w:val="595959"/>
          <w:sz w:val="22"/>
        </w:rPr>
        <w:t>Generic reference — what the integration covers, how it works, what it needs</w:t>
      </w:r>
    </w:p>
    <w:p/>
    <w:p>
      <w:pPr>
        <w:spacing w:before="280" w:after="120"/>
      </w:pPr>
      <w:r>
        <w:rPr>
          <w:b/>
          <w:color w:val="1F3864"/>
          <w:sz w:val="32"/>
        </w:rPr>
        <w:t>1. Overview</w:t>
      </w:r>
    </w:p>
    <w:p>
      <w:r>
        <w:t>The Salesforce ↔ SAP integration lets the two systems exchange data in near-real-time so that Salesforce stays customer-facing (leads, opportunities, quotes) while SAP remains the single source of truth for inventory, pricing, orders, invoices and GRN. Below is a generic reference of everything involved.</w:t>
      </w:r>
    </w:p>
    <w:p>
      <w:pPr>
        <w:spacing w:before="280" w:after="120"/>
      </w:pPr>
      <w:r>
        <w:rPr>
          <w:b/>
          <w:color w:val="1F3864"/>
          <w:sz w:val="32"/>
        </w:rPr>
        <w:t>2. Integration Layers</w:t>
      </w:r>
    </w:p>
    <w:p>
      <w:pPr>
        <w:pStyle w:val="ListBullet"/>
      </w:pPr>
      <w:r>
        <w:rPr>
          <w:b/>
        </w:rPr>
        <w:t>Systems</w:t>
      </w:r>
      <w:r>
        <w:t xml:space="preserve"> — Data lives in SAP tables and Salesforce objects; the integration layer moves records between them.</w:t>
      </w:r>
    </w:p>
    <w:p>
      <w:pPr>
        <w:pStyle w:val="ListBullet"/>
      </w:pPr>
      <w:r>
        <w:rPr>
          <w:b/>
        </w:rPr>
        <w:t>Middleware</w:t>
      </w:r>
      <w:r>
        <w:t xml:space="preserve"> — Options include Salesforce MuleSoft, Dell Boomi, Informatica, SAP PI/PO, SAP CPI, or lightweight point-to-point REST/OData connectors. Choice depends on volume, complexity, existing landscape, and licensing.</w:t>
      </w:r>
    </w:p>
    <w:p>
      <w:pPr>
        <w:pStyle w:val="ListBullet"/>
      </w:pPr>
      <w:r>
        <w:rPr>
          <w:b/>
        </w:rPr>
        <w:t>Protocols</w:t>
      </w:r>
      <w:r>
        <w:t xml:space="preserve"> — SAP exposes data via OData services, BAPIs, IDocs, RFC calls, or SAP CPI/PI iFlows. Salesforce exposes data via REST/SOAP APIs, Platform Events, or Salesforce Connect (external objects).</w:t>
      </w:r>
    </w:p>
    <w:p>
      <w:pPr>
        <w:pStyle w:val="ListBullet"/>
      </w:pPr>
      <w:r>
        <w:rPr>
          <w:b/>
        </w:rPr>
        <w:t>Direction</w:t>
      </w:r>
      <w:r>
        <w:t xml:space="preserve"> — Master data (Products, Customers, Vendors, Work Centres) is usually one-way from SAP → Salesforce. Transactional data (RFQ, PO, Sales Order) is bi-directional. Documents (Invoice, GRN) flow SAP → Salesforce.</w:t>
      </w:r>
    </w:p>
    <w:p>
      <w:pPr>
        <w:spacing w:before="280" w:after="120"/>
      </w:pPr>
      <w:r>
        <w:rPr>
          <w:b/>
          <w:color w:val="1F3864"/>
          <w:sz w:val="32"/>
        </w:rPr>
        <w:t>3. Standard Touchpoints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</w:rPr>
              <w:t>Touchpoint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493"/>
          </w:tcPr>
          <w:p>
            <w:r>
              <w:t>Product Master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create / update in SAP</w:t>
            </w:r>
          </w:p>
        </w:tc>
        <w:tc>
          <w:tcPr>
            <w:tcW w:type="dxa" w:w="2493"/>
          </w:tcPr>
          <w:p>
            <w:r>
              <w:t>Part number, description, UoM, price, spec, hierarchy</w:t>
            </w:r>
          </w:p>
        </w:tc>
      </w:tr>
      <w:tr>
        <w:tc>
          <w:tcPr>
            <w:tcW w:type="dxa" w:w="2493"/>
          </w:tcPr>
          <w:p>
            <w:r>
              <w:t>Customer / Account Master</w:t>
            </w:r>
          </w:p>
        </w:tc>
        <w:tc>
          <w:tcPr>
            <w:tcW w:type="dxa" w:w="2493"/>
          </w:tcPr>
          <w:p>
            <w:r>
              <w:t>SAP → SF (or SF → SAP)</w:t>
            </w:r>
          </w:p>
        </w:tc>
        <w:tc>
          <w:tcPr>
            <w:tcW w:type="dxa" w:w="2493"/>
          </w:tcPr>
          <w:p>
            <w:r>
              <w:t>On new account creation</w:t>
            </w:r>
          </w:p>
        </w:tc>
        <w:tc>
          <w:tcPr>
            <w:tcW w:type="dxa" w:w="2493"/>
          </w:tcPr>
          <w:p>
            <w:r>
              <w:t>Customer code, hierarchy, address, payment terms, credit limit</w:t>
            </w:r>
          </w:p>
        </w:tc>
      </w:tr>
      <w:tr>
        <w:tc>
          <w:tcPr>
            <w:tcW w:type="dxa" w:w="2493"/>
          </w:tcPr>
          <w:p>
            <w:r>
              <w:t>Vendor Master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create / update in SAP</w:t>
            </w:r>
          </w:p>
        </w:tc>
        <w:tc>
          <w:tcPr>
            <w:tcW w:type="dxa" w:w="2493"/>
          </w:tcPr>
          <w:p>
            <w:r>
              <w:t>Vendor code, name, address, GST, approval status</w:t>
            </w:r>
          </w:p>
        </w:tc>
      </w:tr>
      <w:tr>
        <w:tc>
          <w:tcPr>
            <w:tcW w:type="dxa" w:w="2493"/>
          </w:tcPr>
          <w:p>
            <w:r>
              <w:t>Work Centre + Activity Rate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rate revision</w:t>
            </w:r>
          </w:p>
        </w:tc>
        <w:tc>
          <w:tcPr>
            <w:tcW w:type="dxa" w:w="2493"/>
          </w:tcPr>
          <w:p>
            <w:r>
              <w:t>Work centre code, hourly/activity rate, capacity</w:t>
            </w:r>
          </w:p>
        </w:tc>
      </w:tr>
      <w:tr>
        <w:tc>
          <w:tcPr>
            <w:tcW w:type="dxa" w:w="2493"/>
          </w:tcPr>
          <w:p>
            <w:r>
              <w:t>Sales Order (PO → SO)</w:t>
            </w:r>
          </w:p>
        </w:tc>
        <w:tc>
          <w:tcPr>
            <w:tcW w:type="dxa" w:w="2493"/>
          </w:tcPr>
          <w:p>
            <w:r>
              <w:t>SF → SAP</w:t>
            </w:r>
          </w:p>
        </w:tc>
        <w:tc>
          <w:tcPr>
            <w:tcW w:type="dxa" w:w="2493"/>
          </w:tcPr>
          <w:p>
            <w:r>
              <w:t>On PO recorded in Salesforce</w:t>
            </w:r>
          </w:p>
        </w:tc>
        <w:tc>
          <w:tcPr>
            <w:tcW w:type="dxa" w:w="2493"/>
          </w:tcPr>
          <w:p>
            <w:r>
              <w:t>PO number, part number, quantity, delivery date, expiry</w:t>
            </w:r>
          </w:p>
        </w:tc>
      </w:tr>
      <w:tr>
        <w:tc>
          <w:tcPr>
            <w:tcW w:type="dxa" w:w="2493"/>
          </w:tcPr>
          <w:p>
            <w:r>
              <w:t>Invoice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invoice posting in SAP</w:t>
            </w:r>
          </w:p>
        </w:tc>
        <w:tc>
          <w:tcPr>
            <w:tcW w:type="dxa" w:w="2493"/>
          </w:tcPr>
          <w:p>
            <w:r>
              <w:t>Invoice number, PO reference, amount, tax, date</w:t>
            </w:r>
          </w:p>
        </w:tc>
      </w:tr>
      <w:tr>
        <w:tc>
          <w:tcPr>
            <w:tcW w:type="dxa" w:w="2493"/>
          </w:tcPr>
          <w:p>
            <w:r>
              <w:t>GRN / Delivery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GRN posting</w:t>
            </w:r>
          </w:p>
        </w:tc>
        <w:tc>
          <w:tcPr>
            <w:tcW w:type="dxa" w:w="2493"/>
          </w:tcPr>
          <w:p>
            <w:r>
              <w:t>GRN number, invoice reference, quantity received, date</w:t>
            </w:r>
          </w:p>
        </w:tc>
      </w:tr>
      <w:tr>
        <w:tc>
          <w:tcPr>
            <w:tcW w:type="dxa" w:w="2493"/>
          </w:tcPr>
          <w:p>
            <w:r>
              <w:t>Payment / Collection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On payment receipt</w:t>
            </w:r>
          </w:p>
        </w:tc>
        <w:tc>
          <w:tcPr>
            <w:tcW w:type="dxa" w:w="2493"/>
          </w:tcPr>
          <w:p>
            <w:r>
              <w:t>Payment reference, invoice, amount, date, mode</w:t>
            </w:r>
          </w:p>
        </w:tc>
      </w:tr>
      <w:tr>
        <w:tc>
          <w:tcPr>
            <w:tcW w:type="dxa" w:w="2493"/>
          </w:tcPr>
          <w:p>
            <w:r>
              <w:t>Pricing / Contract</w:t>
            </w:r>
          </w:p>
        </w:tc>
        <w:tc>
          <w:tcPr>
            <w:tcW w:type="dxa" w:w="2493"/>
          </w:tcPr>
          <w:p>
            <w:r>
              <w:t>Bi-directional</w:t>
            </w:r>
          </w:p>
        </w:tc>
        <w:tc>
          <w:tcPr>
            <w:tcW w:type="dxa" w:w="2493"/>
          </w:tcPr>
          <w:p>
            <w:r>
              <w:t>On revision</w:t>
            </w:r>
          </w:p>
        </w:tc>
        <w:tc>
          <w:tcPr>
            <w:tcW w:type="dxa" w:w="2493"/>
          </w:tcPr>
          <w:p>
            <w:r>
              <w:t>Base price, index, revised price, effective date</w:t>
            </w:r>
          </w:p>
        </w:tc>
      </w:tr>
    </w:tbl>
    <w:p/>
    <w:p>
      <w:pPr>
        <w:spacing w:before="280" w:after="120"/>
      </w:pPr>
      <w:r>
        <w:rPr>
          <w:b/>
          <w:color w:val="1F3864"/>
          <w:sz w:val="32"/>
        </w:rPr>
        <w:t>4. Integration Modes</w:t>
      </w:r>
    </w:p>
    <w:p>
      <w:pPr>
        <w:pStyle w:val="ListBullet"/>
      </w:pPr>
      <w:r>
        <w:rPr>
          <w:b/>
        </w:rPr>
        <w:t>Real-time (API call)</w:t>
      </w:r>
      <w:r>
        <w:t xml:space="preserve"> — Called synchronously when a user action needs an immediate response (e.g. price fetch during quoting). Latency-sensitive.</w:t>
      </w:r>
    </w:p>
    <w:p>
      <w:pPr>
        <w:pStyle w:val="ListBullet"/>
      </w:pPr>
      <w:r>
        <w:rPr>
          <w:b/>
        </w:rPr>
        <w:t>Batch (scheduled)</w:t>
      </w:r>
      <w:r>
        <w:t xml:space="preserve"> — Records queued and processed on schedule (e.g. hourly product master sync). Suitable for high volume, low urgency.</w:t>
      </w:r>
    </w:p>
    <w:p>
      <w:pPr>
        <w:pStyle w:val="ListBullet"/>
      </w:pPr>
      <w:r>
        <w:rPr>
          <w:b/>
        </w:rPr>
        <w:t>Event-driven</w:t>
      </w:r>
      <w:r>
        <w:t xml:space="preserve"> — Source system emits an event (SAP outbound IDoc, Salesforce Platform Event) that the target consumes asynchronously. Decouples systems.</w:t>
      </w:r>
    </w:p>
    <w:p>
      <w:pPr>
        <w:pStyle w:val="ListBullet"/>
      </w:pPr>
      <w:r>
        <w:rPr>
          <w:b/>
        </w:rPr>
        <w:t>Salesforce Connect (virtual)</w:t>
      </w:r>
      <w:r>
        <w:t xml:space="preserve"> — Salesforce reads SAP data live through external objects — no data copied. Good for reference lookups but limited for reporting.</w:t>
      </w:r>
    </w:p>
    <w:p>
      <w:pPr>
        <w:spacing w:before="280" w:after="120"/>
      </w:pPr>
      <w:r>
        <w:rPr>
          <w:b/>
          <w:color w:val="1F3864"/>
          <w:sz w:val="32"/>
        </w:rPr>
        <w:t>5. Security &amp; Authentication</w:t>
      </w:r>
    </w:p>
    <w:p>
      <w:pPr>
        <w:pStyle w:val="ListBullet"/>
      </w:pPr>
      <w:r>
        <w:rPr>
          <w:b/>
        </w:rPr>
        <w:t>Auth</w:t>
      </w:r>
      <w:r>
        <w:t xml:space="preserve"> — OAuth 2.0 client credentials or JWT bearer flow for server-to-server; certificate-based auth for SAP CPI.</w:t>
      </w:r>
    </w:p>
    <w:p>
      <w:pPr>
        <w:pStyle w:val="ListBullet"/>
      </w:pPr>
      <w:r>
        <w:rPr>
          <w:b/>
        </w:rPr>
        <w:t>Integration user</w:t>
      </w:r>
      <w:r>
        <w:t xml:space="preserve"> — Middleware calls hit SAP through the SAP Gateway with a technical (integration) user, never a named user.</w:t>
      </w:r>
    </w:p>
    <w:p>
      <w:pPr>
        <w:pStyle w:val="ListBullet"/>
      </w:pPr>
      <w:r>
        <w:rPr>
          <w:b/>
        </w:rPr>
        <w:t>Transport</w:t>
      </w:r>
      <w:r>
        <w:t xml:space="preserve"> — All traffic over HTTPS/TLS 1.2+. Middleware and SAP behind VPN if on-premise.</w:t>
      </w:r>
    </w:p>
    <w:p>
      <w:pPr>
        <w:pStyle w:val="ListBullet"/>
      </w:pPr>
      <w:r>
        <w:rPr>
          <w:b/>
        </w:rPr>
        <w:t>Audit</w:t>
      </w:r>
      <w:r>
        <w:t xml:space="preserve"> — Every payload logged with correlation ID; no PII or price data in plain text in logs.</w:t>
      </w:r>
    </w:p>
    <w:p>
      <w:pPr>
        <w:pStyle w:val="ListBullet"/>
      </w:pPr>
      <w:r>
        <w:rPr>
          <w:b/>
        </w:rPr>
        <w:t>Network</w:t>
      </w:r>
      <w:r>
        <w:t xml:space="preserve"> — IP allowlisting between Salesforce, middleware and SAP endpoints.</w:t>
      </w:r>
    </w:p>
    <w:p>
      <w:pPr>
        <w:spacing w:before="280" w:after="120"/>
      </w:pPr>
      <w:r>
        <w:rPr>
          <w:b/>
          <w:color w:val="1F3864"/>
          <w:sz w:val="32"/>
        </w:rPr>
        <w:t>6. Data Model Mapping</w:t>
      </w:r>
    </w:p>
    <w:p>
      <w:pPr>
        <w:pStyle w:val="ListBullet"/>
      </w:pPr>
      <w:r>
        <w:rPr>
          <w:b/>
        </w:rPr>
        <w:t>Field mapping</w:t>
      </w:r>
      <w:r>
        <w:t xml:space="preserve"> — Every SAP field maps to a Salesforce field (or vice-versa) via a mapping document maintained per touchpoint.</w:t>
      </w:r>
    </w:p>
    <w:p>
      <w:pPr>
        <w:pStyle w:val="ListBullet"/>
      </w:pPr>
      <w:r>
        <w:rPr>
          <w:b/>
        </w:rPr>
        <w:t>Key mapping</w:t>
      </w:r>
      <w:r>
        <w:t xml:space="preserve"> — Every entity needs a shared unique key. Typically SAP code is the key (Part number, Customer code, PO number). Salesforce stores it as an External ID for idempotent upserts.</w:t>
      </w:r>
    </w:p>
    <w:p>
      <w:pPr>
        <w:pStyle w:val="ListBullet"/>
      </w:pPr>
      <w:r>
        <w:rPr>
          <w:b/>
        </w:rPr>
        <w:t>Reference-data alignment</w:t>
      </w:r>
      <w:r>
        <w:t xml:space="preserve"> — Codes must line up (currency, country, UoM). Discrepancies are the single most common integration bug.</w:t>
      </w:r>
    </w:p>
    <w:p>
      <w:pPr>
        <w:pStyle w:val="ListBullet"/>
      </w:pPr>
      <w:r>
        <w:rPr>
          <w:b/>
        </w:rPr>
        <w:t>Data types</w:t>
      </w:r>
      <w:r>
        <w:t xml:space="preserve"> — Dates, decimals, number formats standardised before crossing the wire (ISO 8601 for dates, dot decimal, full precision).</w:t>
      </w:r>
    </w:p>
    <w:p>
      <w:pPr>
        <w:spacing w:before="280" w:after="120"/>
      </w:pPr>
      <w:r>
        <w:rPr>
          <w:b/>
          <w:color w:val="1F3864"/>
          <w:sz w:val="32"/>
        </w:rPr>
        <w:t>7. Error Handling &amp; Monitoring</w:t>
      </w:r>
    </w:p>
    <w:p>
      <w:pPr>
        <w:pStyle w:val="ListBullet"/>
      </w:pPr>
      <w:r>
        <w:rPr>
          <w:b/>
        </w:rPr>
        <w:t>Retry</w:t>
      </w:r>
      <w:r>
        <w:t xml:space="preserve"> — Failed calls retried with exponential back-off. Idempotent design (upsert on External ID) so retries are safe.</w:t>
      </w:r>
    </w:p>
    <w:p>
      <w:pPr>
        <w:pStyle w:val="ListBullet"/>
      </w:pPr>
      <w:r>
        <w:rPr>
          <w:b/>
        </w:rPr>
        <w:t>Dead-letter queue</w:t>
      </w:r>
      <w:r>
        <w:t xml:space="preserve"> — Failed records land in a middleware error queue (or a Salesforce Error Log object) with payload, error message, correlation ID, timestamp.</w:t>
      </w:r>
    </w:p>
    <w:p>
      <w:pPr>
        <w:pStyle w:val="ListBullet"/>
      </w:pPr>
      <w:r>
        <w:rPr>
          <w:b/>
        </w:rPr>
        <w:t>Alerting</w:t>
      </w:r>
      <w:r>
        <w:t xml:space="preserve"> — Business owner + technical owner notified by email / Salesforce Chatter on failure. Runbook per touchpoint describes how to reprocess.</w:t>
      </w:r>
    </w:p>
    <w:p>
      <w:pPr>
        <w:pStyle w:val="ListBullet"/>
      </w:pPr>
      <w:r>
        <w:rPr>
          <w:b/>
        </w:rPr>
        <w:t>Monitoring</w:t>
      </w:r>
      <w:r>
        <w:t xml:space="preserve"> — Middleware dashboard: message count, success rate, latency, pending queue depth. Reviewed at least daily.</w:t>
      </w:r>
    </w:p>
    <w:p>
      <w:pPr>
        <w:pStyle w:val="ListBullet"/>
      </w:pPr>
      <w:r>
        <w:rPr>
          <w:b/>
        </w:rPr>
        <w:t>Reprocessing</w:t>
      </w:r>
      <w:r>
        <w:t xml:space="preserve"> — Full replay from source system for a given date range, without re-sending duplicates.</w:t>
      </w:r>
    </w:p>
    <w:p>
      <w:pPr>
        <w:spacing w:before="280" w:after="120"/>
      </w:pPr>
      <w:r>
        <w:rPr>
          <w:b/>
          <w:color w:val="1F3864"/>
          <w:sz w:val="32"/>
        </w:rPr>
        <w:t>8. Data Volume &amp; Performance</w:t>
      </w:r>
    </w:p>
    <w:p>
      <w:pPr>
        <w:pStyle w:val="ListBullet"/>
      </w:pPr>
      <w:r>
        <w:rPr>
          <w:b/>
        </w:rPr>
        <w:t>Volume forecast</w:t>
      </w:r>
      <w:r>
        <w:t xml:space="preserve"> — Understand expected daily/monthly volume per touchpoint before choosing sync mode.</w:t>
      </w:r>
    </w:p>
    <w:p>
      <w:pPr>
        <w:pStyle w:val="ListBullet"/>
      </w:pPr>
      <w:r>
        <w:rPr>
          <w:b/>
        </w:rPr>
        <w:t>Batch size</w:t>
      </w:r>
      <w:r>
        <w:t xml:space="preserve"> — Bulk API for large loads (&gt;200 records); REST for individual calls.</w:t>
      </w:r>
    </w:p>
    <w:p>
      <w:pPr>
        <w:pStyle w:val="ListBullet"/>
      </w:pPr>
      <w:r>
        <w:rPr>
          <w:b/>
        </w:rPr>
        <w:t>API limits</w:t>
      </w:r>
      <w:r>
        <w:t xml:space="preserve"> — Salesforce enforces API call limits per 24 hours. Middleware must batch and cache to stay within them.</w:t>
      </w:r>
    </w:p>
    <w:p>
      <w:pPr>
        <w:pStyle w:val="ListBullet"/>
      </w:pPr>
      <w:r>
        <w:rPr>
          <w:b/>
        </w:rPr>
        <w:t>Delta vs full sync</w:t>
      </w:r>
      <w:r>
        <w:t xml:space="preserve"> — For master data with millions of rows, initial load happens once (data migration); subsequent updates are deltas only.</w:t>
      </w:r>
    </w:p>
    <w:p>
      <w:pPr>
        <w:spacing w:before="280" w:after="120"/>
      </w:pPr>
      <w:r>
        <w:rPr>
          <w:b/>
          <w:color w:val="1F3864"/>
          <w:sz w:val="32"/>
        </w:rPr>
        <w:t>9. Governance &amp; Change Management</w:t>
      </w:r>
    </w:p>
    <w:p>
      <w:pPr>
        <w:pStyle w:val="ListBullet"/>
      </w:pPr>
      <w:r>
        <w:rPr>
          <w:b/>
        </w:rPr>
        <w:t>Interface catalogue</w:t>
      </w:r>
      <w:r>
        <w:t xml:space="preserve"> — One document per touchpoint: purpose, direction, fields, trigger, frequency, error handling, owners.</w:t>
      </w:r>
    </w:p>
    <w:p>
      <w:pPr>
        <w:pStyle w:val="ListBullet"/>
      </w:pPr>
      <w:r>
        <w:rPr>
          <w:b/>
        </w:rPr>
        <w:t>Change control</w:t>
      </w:r>
      <w:r>
        <w:t xml:space="preserve"> — Any change to a mapped field in SAP or Salesforce must be reviewed against the interface catalogue before release.</w:t>
      </w:r>
    </w:p>
    <w:p>
      <w:pPr>
        <w:pStyle w:val="ListBullet"/>
      </w:pPr>
      <w:r>
        <w:rPr>
          <w:b/>
        </w:rPr>
        <w:t>Ownership</w:t>
      </w:r>
      <w:r>
        <w:t xml:space="preserve"> — Business owner (functional) + technical owner (integration/IT) per touchpoint.</w:t>
      </w:r>
    </w:p>
    <w:p>
      <w:pPr>
        <w:pStyle w:val="ListBullet"/>
      </w:pPr>
      <w:r>
        <w:rPr>
          <w:b/>
        </w:rPr>
        <w:t>Environments</w:t>
      </w:r>
      <w:r>
        <w:t xml:space="preserve"> — DEV → QA → UAT → PROD, with automated regression tests replaying sample payloads.</w:t>
      </w:r>
    </w:p>
    <w:p>
      <w:pPr>
        <w:spacing w:before="280" w:after="120"/>
      </w:pPr>
      <w:r>
        <w:rPr>
          <w:b/>
          <w:color w:val="1F3864"/>
          <w:sz w:val="32"/>
        </w:rPr>
        <w:t>10. Testing Approach</w:t>
      </w:r>
    </w:p>
    <w:p>
      <w:pPr>
        <w:pStyle w:val="ListBullet"/>
      </w:pPr>
      <w:r>
        <w:rPr>
          <w:b/>
        </w:rPr>
        <w:t>Unit test</w:t>
      </w:r>
      <w:r>
        <w:t xml:space="preserve"> — Each touchpoint tested in isolation with a known payload.</w:t>
      </w:r>
    </w:p>
    <w:p>
      <w:pPr>
        <w:pStyle w:val="ListBullet"/>
      </w:pPr>
      <w:r>
        <w:rPr>
          <w:b/>
        </w:rPr>
        <w:t>Integration test</w:t>
      </w:r>
      <w:r>
        <w:t xml:space="preserve"> — End-to-end business scenario tested across both systems (e.g. RFQ in SF → BOM in SF → SO in SAP → Invoice in SAP → GRN in SF).</w:t>
      </w:r>
    </w:p>
    <w:p>
      <w:pPr>
        <w:pStyle w:val="ListBullet"/>
      </w:pPr>
      <w:r>
        <w:rPr>
          <w:b/>
        </w:rPr>
        <w:t>Load test</w:t>
      </w:r>
      <w:r>
        <w:t xml:space="preserve"> — Simulated volume: 10x expected daily throughput to confirm the pipes hold under load.</w:t>
      </w:r>
    </w:p>
    <w:p>
      <w:pPr>
        <w:pStyle w:val="ListBullet"/>
      </w:pPr>
      <w:r>
        <w:rPr>
          <w:b/>
        </w:rPr>
        <w:t>Negative test</w:t>
      </w:r>
      <w:r>
        <w:t xml:space="preserve"> — Wrong currency, missing mandatory field, duplicate PO, expired PO, invalid vendor — each has a documented expected outcome.</w:t>
      </w:r>
    </w:p>
    <w:p>
      <w:pPr>
        <w:pStyle w:val="ListBullet"/>
      </w:pPr>
      <w:r>
        <w:rPr>
          <w:b/>
        </w:rPr>
        <w:t>UAT</w:t>
      </w:r>
      <w:r>
        <w:t xml:space="preserve"> — Business users run real scenarios in UAT with real customer data before go-live.</w:t>
      </w:r>
    </w:p>
    <w:p>
      <w:pPr>
        <w:spacing w:before="280" w:after="120"/>
      </w:pPr>
      <w:r>
        <w:rPr>
          <w:b/>
          <w:color w:val="1F3864"/>
          <w:sz w:val="32"/>
        </w:rPr>
        <w:t>11. Prerequisites Before Development Starts</w:t>
      </w:r>
    </w:p>
    <w:p>
      <w:pPr>
        <w:pStyle w:val="ListBullet"/>
      </w:pPr>
      <w:r>
        <w:rPr>
          <w:b/>
        </w:rPr>
        <w:t>SAP-side</w:t>
      </w:r>
      <w:r>
        <w:t xml:space="preserve"> — SAP endpoint list (BAPIs / OData / IDocs) with sample payloads.</w:t>
      </w:r>
    </w:p>
    <w:p>
      <w:pPr>
        <w:pStyle w:val="ListBullet"/>
      </w:pPr>
      <w:r>
        <w:t>SAP technical user credentials + connectivity (VPN / firewall rules).</w:t>
      </w:r>
    </w:p>
    <w:p>
      <w:pPr>
        <w:pStyle w:val="ListBullet"/>
      </w:pPr>
      <w:r>
        <w:rPr>
          <w:b/>
        </w:rPr>
        <w:t>Middleware</w:t>
      </w:r>
      <w:r>
        <w:t xml:space="preserve"> — Middleware environment provisioned (DEV/QA/PROD).</w:t>
      </w:r>
    </w:p>
    <w:p>
      <w:pPr>
        <w:pStyle w:val="ListBullet"/>
      </w:pPr>
      <w:r>
        <w:rPr>
          <w:b/>
        </w:rPr>
        <w:t>Salesforce-side</w:t>
      </w:r>
      <w:r>
        <w:t xml:space="preserve"> — Salesforce Connected App with OAuth credentials.</w:t>
      </w:r>
    </w:p>
    <w:p>
      <w:pPr>
        <w:pStyle w:val="ListBullet"/>
      </w:pPr>
      <w:r>
        <w:t>Named Credential and integration user profile with least-privilege access.</w:t>
      </w:r>
    </w:p>
    <w:p>
      <w:pPr>
        <w:pStyle w:val="ListBullet"/>
      </w:pPr>
      <w:r>
        <w:rPr>
          <w:b/>
        </w:rPr>
        <w:t>Business</w:t>
      </w:r>
      <w:r>
        <w:t xml:space="preserve"> — Field mapping document approved by both business and IT.</w:t>
      </w:r>
    </w:p>
    <w:p>
      <w:pPr>
        <w:pStyle w:val="ListBullet"/>
      </w:pPr>
      <w:r>
        <w:t>Reference data (currencies, UoM, country codes) aligned between the two systems.</w:t>
      </w:r>
    </w:p>
    <w:p>
      <w:pPr>
        <w:spacing w:before="280" w:after="120"/>
      </w:pPr>
      <w:r>
        <w:rPr>
          <w:b/>
          <w:color w:val="1F3864"/>
          <w:sz w:val="32"/>
        </w:rPr>
        <w:t>12. Wheels India — Specific Touchpoints (from scope)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E808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val="clear" w:color="auto" w:fill="0E8088"/>
          </w:tcPr>
          <w:p>
            <w:r>
              <w:rPr>
                <w:b/>
                <w:color w:val="FFFFFF"/>
              </w:rPr>
              <w:t>Touchpoint</w:t>
            </w:r>
          </w:p>
        </w:tc>
        <w:tc>
          <w:tcPr>
            <w:tcW w:type="dxa" w:w="2493"/>
            <w:shd w:val="clear" w:color="auto" w:fill="0E8088"/>
          </w:tcPr>
          <w:p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493"/>
            <w:shd w:val="clear" w:color="auto" w:fill="0E8088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Product Master Sync (part codes, prices, specs)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NPD Engineering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Work Centre + Activity Rate + Vendor Master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NPD Manufacturing / Procurement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Sales Order trigger from PO</w:t>
            </w:r>
          </w:p>
        </w:tc>
        <w:tc>
          <w:tcPr>
            <w:tcW w:type="dxa" w:w="2493"/>
          </w:tcPr>
          <w:p>
            <w:r>
              <w:t>SF → SAP</w:t>
            </w:r>
          </w:p>
        </w:tc>
        <w:tc>
          <w:tcPr>
            <w:tcW w:type="dxa" w:w="2493"/>
          </w:tcPr>
          <w:p>
            <w:r>
              <w:t>PO Reception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Invoice + GRN fetch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Collection tracking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Payment status / collection</w:t>
            </w:r>
          </w:p>
        </w:tc>
        <w:tc>
          <w:tcPr>
            <w:tcW w:type="dxa" w:w="2493"/>
          </w:tcPr>
          <w:p>
            <w:r>
              <w:t>SAP → SF</w:t>
            </w:r>
          </w:p>
        </w:tc>
        <w:tc>
          <w:tcPr>
            <w:tcW w:type="dxa" w:w="2493"/>
          </w:tcPr>
          <w:p>
            <w:r>
              <w:t>Collection tracking</w:t>
            </w:r>
          </w:p>
        </w:tc>
      </w:tr>
    </w:tbl>
    <w:p/>
    <w:p>
      <w:pPr>
        <w:jc w:val="center"/>
      </w:pPr>
      <w:r>
        <w:rPr>
          <w:i/>
          <w:color w:val="969696"/>
        </w:rPr>
        <w:t>— End of document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