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6"/>
        </w:rPr>
        <w:t>Salesforce ↔ SAP — Business Integration Points</w:t>
      </w:r>
    </w:p>
    <w:p>
      <w:pPr>
        <w:jc w:val="center"/>
      </w:pPr>
      <w:r>
        <w:rPr>
          <w:i/>
          <w:color w:val="595959"/>
          <w:sz w:val="20"/>
        </w:rPr>
        <w:t>SAP is the system of record. Salesforce reads from SAP and pushes back only when a customer PO is recorded.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  <w:shd w:val="clear" w:color="auto" w:fill="1F3864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</w:rPr>
              <w:t>Touchpoint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</w:rPr>
              <w:t>Direction</w:t>
            </w:r>
          </w:p>
        </w:tc>
        <w:tc>
          <w:tcPr>
            <w:tcW w:type="dxa" w:w="5386"/>
            <w:shd w:val="clear" w:color="auto" w:fill="1F3864"/>
          </w:tcPr>
          <w:p>
            <w:r>
              <w:rPr>
                <w:b/>
                <w:color w:val="FFFFFF"/>
              </w:rPr>
              <w:t>What happens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551"/>
          </w:tcPr>
          <w:p>
            <w:r>
              <w:t>Product Master</w:t>
            </w:r>
          </w:p>
        </w:tc>
        <w:tc>
          <w:tcPr>
            <w:tcW w:type="dxa" w:w="1474"/>
          </w:tcPr>
          <w:p>
            <w:r>
              <w:t>SAP → SF</w:t>
            </w:r>
          </w:p>
        </w:tc>
        <w:tc>
          <w:tcPr>
            <w:tcW w:type="dxa" w:w="5386"/>
          </w:tcPr>
          <w:p>
            <w:r>
              <w:t>All part serial numbers, descriptions and costs are created and maintained in SAP. For new parts developed through NPD, the team uploads the new serial number into SAP first; SAP then routes it to Salesforce, where it appears in the BOM even if pricing is not yet available.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551"/>
          </w:tcPr>
          <w:p>
            <w:r>
              <w:t>Part pricing (existing parts)</w:t>
            </w:r>
          </w:p>
        </w:tc>
        <w:tc>
          <w:tcPr>
            <w:tcW w:type="dxa" w:w="1474"/>
          </w:tcPr>
          <w:p>
            <w:r>
              <w:t>SAP → SF</w:t>
            </w:r>
          </w:p>
        </w:tc>
        <w:tc>
          <w:tcPr>
            <w:tcW w:type="dxa" w:w="5386"/>
          </w:tcPr>
          <w:p>
            <w:r>
              <w:t>When Engineering enters a part serial number in the BOM, its cost from SAP auto-fills in Salesforce.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551"/>
          </w:tcPr>
          <w:p>
            <w:r>
              <w:t>New-part pricing (fill-in)</w:t>
            </w:r>
          </w:p>
        </w:tc>
        <w:tc>
          <w:tcPr>
            <w:tcW w:type="dxa" w:w="1474"/>
          </w:tcPr>
          <w:p>
            <w:r>
              <w:t>SF-side only</w:t>
            </w:r>
          </w:p>
        </w:tc>
        <w:tc>
          <w:tcPr>
            <w:tcW w:type="dxa" w:w="5386"/>
          </w:tcPr>
          <w:p>
            <w:r>
              <w:t>For parts newly uploaded into SAP that do not yet have a price, the field arrives blank in Salesforce. The Procurement team enters the price in Salesforce.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551"/>
          </w:tcPr>
          <w:p>
            <w:r>
              <w:t>Part revenue history (Account 360)</w:t>
            </w:r>
          </w:p>
        </w:tc>
        <w:tc>
          <w:tcPr>
            <w:tcW w:type="dxa" w:w="1474"/>
          </w:tcPr>
          <w:p>
            <w:r>
              <w:t>SAP → SF</w:t>
            </w:r>
          </w:p>
        </w:tc>
        <w:tc>
          <w:tcPr>
            <w:tcW w:type="dxa" w:w="5386"/>
          </w:tcPr>
          <w:p>
            <w:r>
              <w:t>For every alphanumeric part number, the revenue generated per customer is pulled from SAP into the Account 360 view in Salesforce.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551"/>
          </w:tcPr>
          <w:p>
            <w:r>
              <w:t>Purchase Order → Sales Order</w:t>
            </w:r>
          </w:p>
        </w:tc>
        <w:tc>
          <w:tcPr>
            <w:tcW w:type="dxa" w:w="1474"/>
          </w:tcPr>
          <w:p>
            <w:r>
              <w:t>SF → SAP</w:t>
            </w:r>
          </w:p>
        </w:tc>
        <w:tc>
          <w:tcPr>
            <w:tcW w:type="dxa" w:w="5386"/>
          </w:tcPr>
          <w:p>
            <w:r>
              <w:t>When the customer PO is recorded manually in Salesforce, a trigger fires. The PO number written in the Salesforce field is sent to SAP; SAP creates the Sales Order against that PO.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551"/>
          </w:tcPr>
          <w:p>
            <w:r>
              <w:t>Invoice</w:t>
            </w:r>
          </w:p>
        </w:tc>
        <w:tc>
          <w:tcPr>
            <w:tcW w:type="dxa" w:w="1474"/>
          </w:tcPr>
          <w:p>
            <w:r>
              <w:t>SAP → SF</w:t>
            </w:r>
          </w:p>
        </w:tc>
        <w:tc>
          <w:tcPr>
            <w:tcW w:type="dxa" w:w="5386"/>
          </w:tcPr>
          <w:p>
            <w:r>
              <w:t>SAP raises the invoice against the Sales Order and confirms back to Salesforce.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551"/>
          </w:tcPr>
          <w:p>
            <w:r>
              <w:t>GRN confirmation</w:t>
            </w:r>
          </w:p>
        </w:tc>
        <w:tc>
          <w:tcPr>
            <w:tcW w:type="dxa" w:w="1474"/>
          </w:tcPr>
          <w:p>
            <w:r>
              <w:t>SAP → SF</w:t>
            </w:r>
          </w:p>
        </w:tc>
        <w:tc>
          <w:tcPr>
            <w:tcW w:type="dxa" w:w="5386"/>
          </w:tcPr>
          <w:p>
            <w:r>
              <w:t>GRN update from SAP confirms the order has been received by the customer. On this confirmation the order is marked as delivered in Salesforce.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