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0"/>
        </w:rPr>
        <w:t>Wheels India — Salesforce Business Process</w:t>
      </w:r>
    </w:p>
    <w:p>
      <w:pPr>
        <w:jc w:val="center"/>
      </w:pPr>
      <w:r>
        <w:rPr>
          <w:i/>
          <w:color w:val="595959"/>
          <w:sz w:val="22"/>
        </w:rPr>
        <w:t>End-to-end process flow across Salesforce and SAP</w:t>
        <w:br/>
        <w:t>Derived from scope discussions of 25 &amp; 29 September 2026</w:t>
      </w:r>
    </w:p>
    <w:p/>
    <w:p>
      <w:pPr>
        <w:spacing w:before="280" w:after="120"/>
      </w:pPr>
      <w:r>
        <w:rPr>
          <w:b/>
          <w:color w:val="1F3864"/>
          <w:sz w:val="32"/>
        </w:rPr>
        <w:t>1. Executive Summary</w:t>
      </w:r>
    </w:p>
    <w:p>
      <w:r>
        <w:t>This document captures the end-to-end business process to be implemented in Salesforce for Wheels India, covering the customer journey from initial inquiry through to invoicing, GRN and payment collection. SAP remains the single source of truth for inventory, product master, work-centre activity rates, sales orders, invoices and GRN. Salesforce owns the customer-facing workflow: lead capture, RFQ, NPD collaboration, quotation and post-quote tracking. The accompanying draw.io diagram (Wheels_India_Process_Flow.drawio) shows the same flow visually with four swim-lanes — Customer, Salesforce, Integration, SAP — and marks every API sync point between the two systems.</w:t>
      </w:r>
    </w:p>
    <w:p>
      <w:pPr>
        <w:spacing w:before="280" w:after="120"/>
      </w:pPr>
      <w:r>
        <w:rPr>
          <w:b/>
          <w:color w:val="1F3864"/>
          <w:sz w:val="32"/>
        </w:rPr>
        <w:t>2. Systems in Scope</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3864"/>
          </w:tcPr>
          <w:p>
            <w:r>
              <w:rPr>
                <w:b/>
                <w:color w:val="FFFFFF"/>
              </w:rPr>
              <w:t>System</w:t>
            </w:r>
          </w:p>
        </w:tc>
        <w:tc>
          <w:tcPr>
            <w:tcW w:type="dxa" w:w="3324"/>
            <w:shd w:val="clear" w:color="auto" w:fill="1F3864"/>
          </w:tcPr>
          <w:p>
            <w:r>
              <w:rPr>
                <w:b/>
                <w:color w:val="FFFFFF"/>
              </w:rPr>
              <w:t>Role</w:t>
            </w:r>
          </w:p>
        </w:tc>
        <w:tc>
          <w:tcPr>
            <w:tcW w:type="dxa" w:w="3324"/>
            <w:shd w:val="clear" w:color="auto" w:fill="1F3864"/>
          </w:tcPr>
          <w:p>
            <w:r>
              <w:rPr>
                <w:b/>
                <w:color w:val="FFFFFF"/>
              </w:rPr>
              <w:t>Owns</w:t>
            </w:r>
          </w:p>
        </w:tc>
      </w:tr>
      <w:tr>
        <w:tc>
          <w:tcPr>
            <w:tcW w:type="dxa" w:w="3324"/>
          </w:tcPr>
          <w:p>
            <w:r>
              <w:t>Customer</w:t>
            </w:r>
          </w:p>
        </w:tc>
        <w:tc>
          <w:tcPr>
            <w:tcW w:type="dxa" w:w="3324"/>
          </w:tcPr>
          <w:p>
            <w:r>
              <w:t>External actor</w:t>
            </w:r>
          </w:p>
        </w:tc>
        <w:tc>
          <w:tcPr>
            <w:tcW w:type="dxa" w:w="3324"/>
          </w:tcPr>
          <w:p>
            <w:r>
              <w:t>Inquiries, Purchase Orders, GRN confirmation</w:t>
            </w:r>
          </w:p>
        </w:tc>
      </w:tr>
      <w:tr>
        <w:tc>
          <w:tcPr>
            <w:tcW w:type="dxa" w:w="3324"/>
          </w:tcPr>
          <w:p>
            <w:r>
              <w:t>Salesforce</w:t>
            </w:r>
          </w:p>
        </w:tc>
        <w:tc>
          <w:tcPr>
            <w:tcW w:type="dxa" w:w="3324"/>
          </w:tcPr>
          <w:p>
            <w:r>
              <w:t>Customer-facing workflow</w:t>
            </w:r>
          </w:p>
        </w:tc>
        <w:tc>
          <w:tcPr>
            <w:tcW w:type="dxa" w:w="3324"/>
          </w:tcPr>
          <w:p>
            <w:r>
              <w:t>Leads, Accounts, Contacts, RFQs, NPD workflow, Quotes, PO records, payment tracking, dashboards</w:t>
            </w:r>
          </w:p>
        </w:tc>
      </w:tr>
      <w:tr>
        <w:tc>
          <w:tcPr>
            <w:tcW w:type="dxa" w:w="3324"/>
          </w:tcPr>
          <w:p>
            <w:r>
              <w:t>Integration layer</w:t>
            </w:r>
          </w:p>
        </w:tc>
        <w:tc>
          <w:tcPr>
            <w:tcW w:type="dxa" w:w="3324"/>
          </w:tcPr>
          <w:p>
            <w:r>
              <w:t>API / middleware</w:t>
            </w:r>
          </w:p>
        </w:tc>
        <w:tc>
          <w:tcPr>
            <w:tcW w:type="dxa" w:w="3324"/>
          </w:tcPr>
          <w:p>
            <w:r>
              <w:t>Bi-directional sync between Salesforce and SAP at 4 defined touchpoints</w:t>
            </w:r>
          </w:p>
        </w:tc>
      </w:tr>
      <w:tr>
        <w:tc>
          <w:tcPr>
            <w:tcW w:type="dxa" w:w="3324"/>
          </w:tcPr>
          <w:p>
            <w:r>
              <w:t>SAP (ERP)</w:t>
            </w:r>
          </w:p>
        </w:tc>
        <w:tc>
          <w:tcPr>
            <w:tcW w:type="dxa" w:w="3324"/>
          </w:tcPr>
          <w:p>
            <w:r>
              <w:t>System of record</w:t>
            </w:r>
          </w:p>
        </w:tc>
        <w:tc>
          <w:tcPr>
            <w:tcW w:type="dxa" w:w="3324"/>
          </w:tcPr>
          <w:p>
            <w:r>
              <w:t>Product Master, Work Centre + Activity Rates, Vendor Master, Sales Orders, Invoices, GRN</w:t>
            </w:r>
          </w:p>
        </w:tc>
      </w:tr>
    </w:tbl>
    <w:p/>
    <w:p>
      <w:pPr>
        <w:spacing w:before="280" w:after="120"/>
      </w:pPr>
      <w:r>
        <w:rPr>
          <w:b/>
          <w:color w:val="1F3864"/>
          <w:sz w:val="32"/>
        </w:rPr>
        <w:t>3. Process Phases</w:t>
      </w:r>
    </w:p>
    <w:p>
      <w:pPr>
        <w:spacing w:before="280" w:after="120"/>
      </w:pPr>
      <w:r>
        <w:rPr>
          <w:b/>
          <w:color w:val="1F7A1F"/>
          <w:sz w:val="26"/>
        </w:rPr>
        <w:t>Phase 1 — Lead Capture &amp; Conversion</w:t>
      </w:r>
    </w:p>
    <w:p>
      <w:pPr>
        <w:pStyle w:val="ListBullet"/>
      </w:pPr>
      <w:r>
        <w:t>Inquiries reach Wheels India through four channels: the Web-to-Lead form on the corporate site, a dedicated shared inquiry email (Email-to-Lead), direct BDM outreach entered manually, and referrals.</w:t>
      </w:r>
    </w:p>
    <w:p>
      <w:pPr>
        <w:pStyle w:val="ListBullet"/>
      </w:pPr>
      <w:r>
        <w:t>A Salesforce Lead record is created automatically from Web-to-Lead or Email-to-Lead; BDM/referral leads are keyed in by the sales rep.</w:t>
      </w:r>
    </w:p>
    <w:p>
      <w:pPr>
        <w:pStyle w:val="ListBullet"/>
      </w:pPr>
      <w:r>
        <w:t>Salesforce dedup rules flag likely duplicates before assignment.</w:t>
      </w:r>
    </w:p>
    <w:p>
      <w:pPr>
        <w:pStyle w:val="ListBullet"/>
      </w:pPr>
      <w:r>
        <w:t>The lead is routed to a sales rep by region / product line and progresses through statuses: New → Contacted → Qualified (or Lost with reason).</w:t>
      </w:r>
    </w:p>
    <w:p>
      <w:pPr>
        <w:pStyle w:val="ListBullet"/>
      </w:pPr>
      <w:r>
        <w:t>On Convert, Salesforce creates three linked records in one action: Account, Contact, and Opportunity/RFQ.</w:t>
      </w:r>
    </w:p>
    <w:p>
      <w:pPr>
        <w:pStyle w:val="ListBullet"/>
      </w:pPr>
      <w:r>
        <w:t>Account is stored with three-level hierarchy: Parent → Region → Plant. Multiple contacts per account (buyers, SDE, quality) are supported per plant. Account 360 shows active pipeline, quotes, NPD projects and part-level revenue history.</w:t>
      </w:r>
    </w:p>
    <w:p>
      <w:pPr>
        <w:spacing w:before="280" w:after="120"/>
      </w:pPr>
      <w:r>
        <w:rPr>
          <w:b/>
          <w:color w:val="1F7A1F"/>
          <w:sz w:val="26"/>
        </w:rPr>
        <w:t>Phase 2 — RFQ + NPD Engineering (BOM creation)</w:t>
      </w:r>
    </w:p>
    <w:p>
      <w:pPr>
        <w:pStyle w:val="ListBullet"/>
      </w:pPr>
      <w:r>
        <w:t>The Opportunity/RFQ carries a single part-number series (backhoe, excavator, etc.) which is the same identifier used later in SAP for sales order, invoice and production tracking. Only one numbering scheme, decided in the 25 September meeting.</w:t>
      </w:r>
    </w:p>
    <w:p>
      <w:pPr>
        <w:pStyle w:val="ListBullet"/>
      </w:pPr>
      <w:r>
        <w:t>Decision point: does the RFQ contain a new product requiring NPD? If not, the flow skips directly to Quotation.</w:t>
      </w:r>
    </w:p>
    <w:p>
      <w:pPr>
        <w:pStyle w:val="ListBullet"/>
      </w:pPr>
      <w:r>
        <w:t>If NPD is required, the Engineering team creates the BOM in Salesforce: enters each line item's part serial number, tags each line Make-or-Buy, and attaches the CAD drawing as a WinChip link (no PDM integration) or PDF upload.</w:t>
      </w:r>
    </w:p>
    <w:p>
      <w:pPr>
        <w:pStyle w:val="ListBullet"/>
      </w:pPr>
      <w:r>
        <w:t>INTEGRATION POINT 1 — API sync with SAP Product Master: for existing part numbers, price and specification auto-fill from SAP. New parts remain blank for Procurement to complete.</w:t>
      </w:r>
    </w:p>
    <w:p>
      <w:pPr>
        <w:spacing w:before="280" w:after="120"/>
      </w:pPr>
      <w:r>
        <w:rPr>
          <w:b/>
          <w:color w:val="1F7A1F"/>
          <w:sz w:val="26"/>
        </w:rPr>
        <w:t>Phase 3 — Parallel branches: Make vs Buy</w:t>
      </w:r>
    </w:p>
    <w:p>
      <w:pPr>
        <w:pStyle w:val="ListBullet"/>
      </w:pPr>
      <w:r>
        <w:t>A parallel gateway splits the BOM into two concurrent workstreams so Procurement and Manufacturing can work at the same time.</w:t>
      </w:r>
    </w:p>
    <w:p>
      <w:pPr>
        <w:pStyle w:val="ListBullet"/>
      </w:pPr>
      <w:r>
        <w:t>Buy branch — Procurement fills vendor and price for new parts (fields left blank from the SAP fetch). Vendor is picked from SAP Vendor Master.</w:t>
      </w:r>
    </w:p>
    <w:p>
      <w:pPr>
        <w:pStyle w:val="ListBullet"/>
      </w:pPr>
      <w:r>
        <w:t>Make branch — Manufacturing selects the work centre and enters cycle time. INTEGRATION POINT 2 — the activity rate for the selected work centre is auto-fetched from SAP against the work-centre master.</w:t>
      </w:r>
    </w:p>
    <w:p>
      <w:pPr>
        <w:pStyle w:val="ListBullet"/>
      </w:pPr>
      <w:r>
        <w:t>Both branches converge at a parallel-merge gateway before costing.</w:t>
      </w:r>
    </w:p>
    <w:p>
      <w:pPr>
        <w:spacing w:before="280" w:after="120"/>
      </w:pPr>
      <w:r>
        <w:rPr>
          <w:b/>
          <w:color w:val="1F7A1F"/>
          <w:sz w:val="26"/>
        </w:rPr>
        <w:t>Phase 4 — Packing → Tooling → Costing → Approval</w:t>
      </w:r>
    </w:p>
    <w:p>
      <w:pPr>
        <w:pStyle w:val="ListBullet"/>
      </w:pPr>
      <w:r>
        <w:t>Packing stage — Sales team enters domestic vs export, box type (from a dropdown), quantity per box, and packing cost per unit.</w:t>
      </w:r>
    </w:p>
    <w:p>
      <w:pPr>
        <w:pStyle w:val="ListBullet"/>
      </w:pPr>
      <w:r>
        <w:t>Tooling &amp; Gauges — a Yes/No checkbox; if Yes, one-time tooling cost is entered (customer-borne, amortisable across production).</w:t>
      </w:r>
    </w:p>
    <w:p>
      <w:pPr>
        <w:pStyle w:val="ListBullet"/>
      </w:pPr>
      <w:r>
        <w:t>Costing team consolidates material + manufacturing + packing + tooling + overheads to derive the Floor Price (minimum sellable price).</w:t>
      </w:r>
    </w:p>
    <w:p>
      <w:pPr>
        <w:pStyle w:val="ListBullet"/>
      </w:pPr>
      <w:r>
        <w:t>Costing Approval is a formal sign-off before the quote can be released.</w:t>
      </w:r>
    </w:p>
    <w:p>
      <w:pPr>
        <w:spacing w:before="280" w:after="120"/>
      </w:pPr>
      <w:r>
        <w:rPr>
          <w:b/>
          <w:color w:val="1F7A1F"/>
          <w:sz w:val="26"/>
        </w:rPr>
        <w:t>Phase 5 — Quotation</w:t>
      </w:r>
    </w:p>
    <w:p>
      <w:pPr>
        <w:pStyle w:val="ListBullet"/>
      </w:pPr>
      <w:r>
        <w:t>A quote is created in Salesforce with the Floor Price stored as the threshold on each product line.</w:t>
      </w:r>
    </w:p>
    <w:p>
      <w:pPr>
        <w:pStyle w:val="ListBullet"/>
      </w:pPr>
      <w:r>
        <w:t>Decision point: if the sales price is below Floor Price, the quote is routed through the Discount / Deviation Approval workflow. Above Floor Price, no approval is needed.</w:t>
      </w:r>
    </w:p>
    <w:p>
      <w:pPr>
        <w:pStyle w:val="ListBullet"/>
      </w:pPr>
      <w:r>
        <w:t>The quote is sent to the customer through Outlook integration as a PDF on Wheels India letterhead. Downloading is blocked and e-signature is not required.</w:t>
      </w:r>
    </w:p>
    <w:p>
      <w:pPr>
        <w:pStyle w:val="ListBullet"/>
      </w:pPr>
      <w:r>
        <w:t>A 6-monthly price revision loop runs against this stage: every six months, the current steel index is uploaded, the system recalculates the revised price per customer (VMI added on top for US and Mexico locations only), and the revised price sheet is auto-sent to the customer.</w:t>
      </w:r>
    </w:p>
    <w:p>
      <w:pPr>
        <w:spacing w:before="280" w:after="120"/>
      </w:pPr>
      <w:r>
        <w:rPr>
          <w:b/>
          <w:color w:val="1F7A1F"/>
          <w:sz w:val="26"/>
        </w:rPr>
        <w:t>Phase 6 — PO Reception → SAP Sales Order</w:t>
      </w:r>
    </w:p>
    <w:p>
      <w:pPr>
        <w:pStyle w:val="ListBullet"/>
      </w:pPr>
      <w:r>
        <w:t>The customer issues a Purchase Order. Salesforce records it against the RFQ with PO number, quantity, delivery date and expiry date.</w:t>
      </w:r>
    </w:p>
    <w:p>
      <w:pPr>
        <w:pStyle w:val="ListBullet"/>
      </w:pPr>
      <w:r>
        <w:t>INTEGRATION POINT 3 — creating the PO in Salesforce triggers Sales Order creation in SAP via API. SAP validates that the sales-order quantity does not exceed the PO quantity and that the delivery date is within the PO expiry — the control that today is missing.</w:t>
      </w:r>
    </w:p>
    <w:p>
      <w:pPr>
        <w:spacing w:before="280" w:after="120"/>
      </w:pPr>
      <w:r>
        <w:rPr>
          <w:b/>
          <w:color w:val="1F7A1F"/>
          <w:sz w:val="26"/>
        </w:rPr>
        <w:t>Phase 7 — Invoice, GRN, Collection</w:t>
      </w:r>
    </w:p>
    <w:p>
      <w:pPr>
        <w:pStyle w:val="ListBullet"/>
      </w:pPr>
      <w:r>
        <w:t>SAP raises the invoice against the Sales Order.</w:t>
      </w:r>
    </w:p>
    <w:p>
      <w:pPr>
        <w:pStyle w:val="ListBullet"/>
      </w:pPr>
      <w:r>
        <w:t>GRN is captured at the customer end — either automatically through Catapult or manually in SAP.</w:t>
      </w:r>
    </w:p>
    <w:p>
      <w:pPr>
        <w:pStyle w:val="ListBullet"/>
      </w:pPr>
      <w:r>
        <w:t>INTEGRATION POINT 4 — both invoice and GRN are fetched back into Salesforce against the original PO.</w:t>
      </w:r>
    </w:p>
    <w:p>
      <w:pPr>
        <w:pStyle w:val="ListBullet"/>
      </w:pPr>
      <w:r>
        <w:t>Payment terms (30 / 60 / 90 days from GRN date) are stored at Lead / Account level as a picklist. Salesforce tracks the three revenue milestones per RFQ: PO received → Invoice raised → Payment collected.</w:t>
      </w:r>
    </w:p>
    <w:p>
      <w:pPr>
        <w:pStyle w:val="ListBullet"/>
      </w:pPr>
      <w:r>
        <w:t>Overdue notifications alert the salesperson / collections team. On payment receipt, the RFQ cycle is closed.</w:t>
      </w:r>
    </w:p>
    <w:p>
      <w:pPr>
        <w:spacing w:before="280" w:after="120"/>
      </w:pPr>
      <w:r>
        <w:rPr>
          <w:b/>
          <w:color w:val="1F3864"/>
          <w:sz w:val="32"/>
        </w:rPr>
        <w:t>4. Salesforce ↔ SAP Integration Touchpoints</w:t>
      </w:r>
    </w:p>
    <w:p>
      <w:r>
        <w:t>Four API sync points connect Salesforce and SAP. Each is shown as a hexagon in the Integration lane of the accompanying draw.io diagram.</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val="clear" w:color="auto" w:fill="0E8088"/>
          </w:tcPr>
          <w:p>
            <w:r>
              <w:rPr>
                <w:b/>
                <w:color w:val="FFFFFF"/>
              </w:rPr>
              <w:t>#</w:t>
            </w:r>
          </w:p>
        </w:tc>
        <w:tc>
          <w:tcPr>
            <w:tcW w:type="dxa" w:w="2493"/>
            <w:shd w:val="clear" w:color="auto" w:fill="0E8088"/>
          </w:tcPr>
          <w:p>
            <w:r>
              <w:rPr>
                <w:b/>
                <w:color w:val="FFFFFF"/>
              </w:rPr>
              <w:t>Touchpoint</w:t>
            </w:r>
          </w:p>
        </w:tc>
        <w:tc>
          <w:tcPr>
            <w:tcW w:type="dxa" w:w="2493"/>
            <w:shd w:val="clear" w:color="auto" w:fill="0E8088"/>
          </w:tcPr>
          <w:p>
            <w:r>
              <w:rPr>
                <w:b/>
                <w:color w:val="FFFFFF"/>
              </w:rPr>
              <w:t>Direction</w:t>
            </w:r>
          </w:p>
        </w:tc>
        <w:tc>
          <w:tcPr>
            <w:tcW w:type="dxa" w:w="2493"/>
            <w:shd w:val="clear" w:color="auto" w:fill="0E8088"/>
          </w:tcPr>
          <w:p>
            <w:r>
              <w:rPr>
                <w:b/>
                <w:color w:val="FFFFFF"/>
              </w:rPr>
              <w:t>Data</w:t>
            </w:r>
          </w:p>
        </w:tc>
      </w:tr>
      <w:tr>
        <w:tc>
          <w:tcPr>
            <w:tcW w:type="dxa" w:w="2493"/>
          </w:tcPr>
          <w:p>
            <w:r>
              <w:t>1</w:t>
            </w:r>
          </w:p>
        </w:tc>
        <w:tc>
          <w:tcPr>
            <w:tcW w:type="dxa" w:w="2493"/>
          </w:tcPr>
          <w:p>
            <w:r>
              <w:t>Product Master Sync (Phase 2)</w:t>
            </w:r>
          </w:p>
        </w:tc>
        <w:tc>
          <w:tcPr>
            <w:tcW w:type="dxa" w:w="2493"/>
          </w:tcPr>
          <w:p>
            <w:r>
              <w:t>SAP → SF</w:t>
            </w:r>
          </w:p>
        </w:tc>
        <w:tc>
          <w:tcPr>
            <w:tcW w:type="dxa" w:w="2493"/>
          </w:tcPr>
          <w:p>
            <w:r>
              <w:t>Existing part codes, prices, specifications</w:t>
            </w:r>
          </w:p>
        </w:tc>
      </w:tr>
      <w:tr>
        <w:tc>
          <w:tcPr>
            <w:tcW w:type="dxa" w:w="2493"/>
          </w:tcPr>
          <w:p>
            <w:r>
              <w:t>2</w:t>
            </w:r>
          </w:p>
        </w:tc>
        <w:tc>
          <w:tcPr>
            <w:tcW w:type="dxa" w:w="2493"/>
          </w:tcPr>
          <w:p>
            <w:r>
              <w:t>Work Centre + Activity Rate (Phase 3)</w:t>
            </w:r>
          </w:p>
        </w:tc>
        <w:tc>
          <w:tcPr>
            <w:tcW w:type="dxa" w:w="2493"/>
          </w:tcPr>
          <w:p>
            <w:r>
              <w:t>SAP → SF</w:t>
            </w:r>
          </w:p>
        </w:tc>
        <w:tc>
          <w:tcPr>
            <w:tcW w:type="dxa" w:w="2493"/>
          </w:tcPr>
          <w:p>
            <w:r>
              <w:t>Work-centre master, per-work-centre activity rate, vendor master</w:t>
            </w:r>
          </w:p>
        </w:tc>
      </w:tr>
      <w:tr>
        <w:tc>
          <w:tcPr>
            <w:tcW w:type="dxa" w:w="2493"/>
          </w:tcPr>
          <w:p>
            <w:r>
              <w:t>3</w:t>
            </w:r>
          </w:p>
        </w:tc>
        <w:tc>
          <w:tcPr>
            <w:tcW w:type="dxa" w:w="2493"/>
          </w:tcPr>
          <w:p>
            <w:r>
              <w:t>Sales Order Trigger (Phase 6)</w:t>
            </w:r>
          </w:p>
        </w:tc>
        <w:tc>
          <w:tcPr>
            <w:tcW w:type="dxa" w:w="2493"/>
          </w:tcPr>
          <w:p>
            <w:r>
              <w:t>SF → SAP</w:t>
            </w:r>
          </w:p>
        </w:tc>
        <w:tc>
          <w:tcPr>
            <w:tcW w:type="dxa" w:w="2493"/>
          </w:tcPr>
          <w:p>
            <w:r>
              <w:t>PO number, quantity, delivery date; creates validated Sales Order in SAP</w:t>
            </w:r>
          </w:p>
        </w:tc>
      </w:tr>
      <w:tr>
        <w:tc>
          <w:tcPr>
            <w:tcW w:type="dxa" w:w="2493"/>
          </w:tcPr>
          <w:p>
            <w:r>
              <w:t>4</w:t>
            </w:r>
          </w:p>
        </w:tc>
        <w:tc>
          <w:tcPr>
            <w:tcW w:type="dxa" w:w="2493"/>
          </w:tcPr>
          <w:p>
            <w:r>
              <w:t>Invoice + GRN Fetch (Phase 7)</w:t>
            </w:r>
          </w:p>
        </w:tc>
        <w:tc>
          <w:tcPr>
            <w:tcW w:type="dxa" w:w="2493"/>
          </w:tcPr>
          <w:p>
            <w:r>
              <w:t>SAP → SF</w:t>
            </w:r>
          </w:p>
        </w:tc>
        <w:tc>
          <w:tcPr>
            <w:tcW w:type="dxa" w:w="2493"/>
          </w:tcPr>
          <w:p>
            <w:r>
              <w:t>Invoice against Sales Order; GRN date and quantity received at customer</w:t>
            </w:r>
          </w:p>
        </w:tc>
      </w:tr>
    </w:tbl>
    <w:p/>
    <w:p>
      <w:pPr>
        <w:spacing w:before="280" w:after="120"/>
      </w:pPr>
      <w:r>
        <w:rPr>
          <w:b/>
          <w:color w:val="1F3864"/>
          <w:sz w:val="32"/>
        </w:rPr>
        <w:t>5. Key Design Decisions (from 25 &amp; 29 Sep meetings)</w:t>
      </w:r>
    </w:p>
    <w:p>
      <w:pPr>
        <w:pStyle w:val="ListBullet"/>
      </w:pPr>
      <w:r>
        <w:t>Single part-number series carried through from RFQ → BOM → SAP → invoice. No dual numbering.</w:t>
      </w:r>
    </w:p>
    <w:p>
      <w:pPr>
        <w:pStyle w:val="ListBullet"/>
      </w:pPr>
      <w:r>
        <w:t>CAD drawings live in WinChip; Salesforce stores only the link or a PDF upload. No PDM integration.</w:t>
      </w:r>
    </w:p>
    <w:p>
      <w:pPr>
        <w:pStyle w:val="ListBullet"/>
      </w:pPr>
      <w:r>
        <w:t>SAP is the single source of truth for inventory, invoices and GRN. Salesforce never derives actuals.</w:t>
      </w:r>
    </w:p>
    <w:p>
      <w:pPr>
        <w:pStyle w:val="ListBullet"/>
      </w:pPr>
      <w:r>
        <w:t>Quotes are sent only from Salesforce via Outlook; the PDF cannot be downloaded and no e-signature is required.</w:t>
      </w:r>
    </w:p>
    <w:p>
      <w:pPr>
        <w:pStyle w:val="ListBullet"/>
      </w:pPr>
      <w:r>
        <w:t>Salesforce access is IP-restricted to Wheels India-issued devices.</w:t>
      </w:r>
    </w:p>
    <w:p>
      <w:pPr>
        <w:pStyle w:val="ListBullet"/>
      </w:pPr>
      <w:r>
        <w:t>Payment terms are set at Account level as a picklist (30 / 60 / 90 days from GRN).</w:t>
      </w:r>
    </w:p>
    <w:p>
      <w:pPr>
        <w:pStyle w:val="ListBullet"/>
      </w:pPr>
      <w:r>
        <w:t>Six-monthly steel-index revision: base index is captured at quoting; every six months the system recomputes revised prices per customer using that customer's formula. VMI cost is added on top for US and Mexico locations only.</w:t>
      </w:r>
    </w:p>
    <w:p>
      <w:pPr>
        <w:pStyle w:val="ListBullet"/>
      </w:pPr>
      <w:r>
        <w:t>Encrypted customer emails (Caterpillar-style) must be opened manually first — an Outlook rule/agent then forwards the plain content to the shared inquiry inbox.</w:t>
      </w:r>
    </w:p>
    <w:p>
      <w:pPr>
        <w:pStyle w:val="ListBullet"/>
      </w:pPr>
      <w:r>
        <w:t>Lead scoring linked to email interactions is a Phase 2 enhancement, not part of the initial build.</w:t>
      </w:r>
    </w:p>
    <w:p>
      <w:pPr>
        <w:spacing w:before="280" w:after="120"/>
      </w:pPr>
      <w:r>
        <w:rPr>
          <w:b/>
          <w:color w:val="1F3864"/>
          <w:sz w:val="32"/>
        </w:rPr>
        <w:t>6. Accompanying Diagram</w:t>
      </w:r>
    </w:p>
    <w:p>
      <w:r>
        <w:rPr>
          <w:sz w:val="22"/>
        </w:rPr>
        <w:t xml:space="preserve">The visual process flow is delivered as a separate draw.io file: </w:t>
      </w:r>
      <w:r>
        <w:rPr>
          <w:b/>
          <w:sz w:val="22"/>
        </w:rPr>
        <w:t>Wheels_India_Process_Flow.drawio</w:t>
      </w:r>
    </w:p>
    <w:p>
      <w:r>
        <w:t>Open the file at app.diagrams.net (File → Open From → Device) or in the draw.io desktop app. It uses four horizontal swim-lanes — Customer, Salesforce, Integration, SAP — with API sync points shown as hexagons in the Integration lane at every Salesforce ↔ SAP interaction.</w:t>
      </w:r>
    </w:p>
    <w:p/>
    <w:p>
      <w:pPr>
        <w:jc w:val="center"/>
      </w:pPr>
      <w:r>
        <w:rPr>
          <w:i/>
          <w:color w:val="969696"/>
        </w:rPr>
        <w:t>— End of document —</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