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Arial" w:hAnsi="Arial"/>
          <w:b/>
          <w:color w:val="003366"/>
          <w:sz w:val="36"/>
        </w:rPr>
        <w:t>ADVANCED DATA ANALYSIS &amp; VISUALIZATION IN LOGISTICS</w:t>
      </w:r>
    </w:p>
    <w:p>
      <w:pPr>
        <w:spacing w:after="480"/>
        <w:jc w:val="center"/>
      </w:pPr>
      <w:r>
        <w:rPr>
          <w:color w:val="4682B4"/>
          <w:sz w:val="24"/>
        </w:rPr>
        <w:t>Week 3 Logistics Analysis Task | Exploratory Data Analysis &amp; Statistical Modeling</w:t>
      </w:r>
    </w:p>
    <w:p>
      <w:pPr>
        <w:keepNext/>
        <w:spacing w:before="360" w:after="120"/>
      </w:pPr>
      <w:r>
        <w:rPr>
          <w:rFonts w:ascii="Arial" w:hAnsi="Arial"/>
          <w:b/>
          <w:color w:val="003366"/>
          <w:sz w:val="32"/>
        </w:rPr>
        <w:t>1. Executive Summary &amp; Task 3 Objective</w:t>
      </w:r>
    </w:p>
    <w:tbl>
      <w:tblPr>
        <w:tblW w:type="auto" w:w="0"/>
        <w:jc w:val="center"/>
        <w:tblLook w:firstColumn="1" w:firstRow="1" w:lastColumn="0" w:lastRow="0" w:noHBand="0" w:noVBand="1" w:val="04A0"/>
      </w:tblPr>
      <w:tblGrid>
        <w:gridCol w:w="9360"/>
      </w:tblGrid>
      <w:tr>
        <w:tc>
          <w:tcPr>
            <w:tcW w:type="dxa" w:w="9360"/>
            <w:shd w:fill="F0F4F8"/>
            <w:tcBorders>
              <w:left w:val="single" w:sz="24" w:space="0" w:color="003366"/>
              <w:top w:val="none"/>
              <w:right w:val="none"/>
              <w:bottom w:val="none"/>
            </w:tcBorders>
          </w:tcPr>
          <w:p>
            <w:pPr>
              <w:spacing w:before="120" w:after="120"/>
              <w:ind w:left="144" w:right="144"/>
            </w:pPr>
            <w:r>
              <w:rPr>
                <w:i/>
                <w:color w:val="333333"/>
                <w:sz w:val="21"/>
              </w:rPr>
              <w:t>Task 3 Objective: Exploratory Data Analysis (EDA), statistical distribution profiling, and feature correlation mapping for delivery performance optimization.</w:t>
            </w:r>
          </w:p>
        </w:tc>
      </w:tr>
    </w:tbl>
    <w:p>
      <w:pPr>
        <w:spacing w:after="120"/>
      </w:pPr>
    </w:p>
    <w:p>
      <w:pPr>
        <w:spacing w:after="120" w:line="276" w:lineRule="auto"/>
      </w:pPr>
      <w:r>
        <w:t>Building upon the cleaned enterprise logistics dataset established in Week 2, this Week 3 report executes a comprehensive Exploratory Data Analysis (EDA) framework. In supply chain management, understanding the underlying statistical distributions, operational drivers, and multivariate correlations is essential for accurate transit time forecasting and bottleneck mitigation. By analyzing 100 delivery fulfillment records ('logistics_dataset_100_rows.csv'), this study evaluates central tendencies, dispersion metrics, and bivariate correlations between transit distance, cargo weight, urban traffic congestion, and total door-to-door delivery duration. The findings provide empirical backing for strategic fleet routing and operational SLA adherence.</w:t>
      </w:r>
    </w:p>
    <w:p>
      <w:pPr>
        <w:keepNext/>
        <w:spacing w:before="360" w:after="120"/>
      </w:pPr>
      <w:r>
        <w:rPr>
          <w:rFonts w:ascii="Arial" w:hAnsi="Arial"/>
          <w:b/>
          <w:color w:val="003366"/>
          <w:sz w:val="32"/>
        </w:rPr>
        <w:t>2. Dataset Structure &amp; Descriptive Statistical Profiling</w:t>
      </w:r>
    </w:p>
    <w:p>
      <w:pPr>
        <w:spacing w:after="120" w:line="276" w:lineRule="auto"/>
      </w:pPr>
      <w:r>
        <w:t>To quantify operational performance across the fulfillment network, descriptive statistical metrics were computed for all continuous variables. The analysis highlights key baseline parameters across 100 delivery records:</w:t>
      </w:r>
    </w:p>
    <w:p>
      <w:pPr>
        <w:spacing w:after="120" w:line="276" w:lineRule="auto"/>
      </w:pPr>
      <w:r>
        <w:t>• Order ID: Unique tracking identifier ranging from 1001 to 1100.</w:t>
      </w:r>
    </w:p>
    <w:p>
      <w:pPr>
        <w:spacing w:after="120" w:line="276" w:lineRule="auto"/>
      </w:pPr>
      <w:r>
        <w:t>• Distance (km): Mean distance of 22.18 km with a standard deviation of 12.27 km (Range: 3.23 km to 44.45 km).</w:t>
      </w:r>
    </w:p>
    <w:p>
      <w:pPr>
        <w:spacing w:after="120" w:line="276" w:lineRule="auto"/>
      </w:pPr>
      <w:r>
        <w:t>• Cargo Weight (kg): Average package weight of 10.95 kg with a standard deviation of 5.15 kg (Range: 2.13 kg to 19.74 kg).</w:t>
      </w:r>
    </w:p>
    <w:p>
      <w:pPr>
        <w:spacing w:after="120" w:line="276" w:lineRule="auto"/>
      </w:pPr>
      <w:r>
        <w:t>• Traffic Delay (mins): Mean congestion hold-up of 25.95 mins with a standard deviation of 19.26 mins (Range: 0 to 60.0 mins).</w:t>
      </w:r>
    </w:p>
    <w:p>
      <w:pPr>
        <w:spacing w:after="120" w:line="276" w:lineRule="auto"/>
      </w:pPr>
      <w:r>
        <w:t>• Delivery Time (mins): Mean total fulfillment duration of 117.57 mins with a standard deviation of 34.12 mins (Range: 52.54 mins to 206.56 mins).</w:t>
      </w:r>
    </w:p>
    <w:p>
      <w:pPr>
        <w:keepNext/>
        <w:spacing w:before="360" w:after="120"/>
      </w:pPr>
      <w:r>
        <w:rPr>
          <w:rFonts w:ascii="Arial" w:hAnsi="Arial"/>
          <w:b/>
          <w:color w:val="003366"/>
          <w:sz w:val="32"/>
        </w:rPr>
        <w:t>3. Correlation Analysis &amp; Operational Cost Drivers</w:t>
      </w:r>
    </w:p>
    <w:p>
      <w:pPr>
        <w:spacing w:after="120" w:line="276" w:lineRule="auto"/>
      </w:pPr>
      <w:r>
        <w:t>A correlation matrix was generated to uncover the primary drivers of delivery delays and transit duration. Key bivariate relationships include:</w:t>
      </w:r>
    </w:p>
    <w:p>
      <w:pPr>
        <w:spacing w:after="120" w:line="276" w:lineRule="auto"/>
      </w:pPr>
      <w:r>
        <w:t>• Distance vs. Delivery Time (r = 0.83): Demonstrates a strong positive correlation, confirming transit distance is the primary deterministic factor governing overall delivery duration.</w:t>
      </w:r>
    </w:p>
    <w:p>
      <w:pPr>
        <w:spacing w:after="120" w:line="276" w:lineRule="auto"/>
      </w:pPr>
      <w:r>
        <w:t>• Traffic Delay vs. Delivery Time (r = 0.35): Indicates a moderate positive correlation, proving that urban congestion significantly compounds delivery schedules.</w:t>
      </w:r>
    </w:p>
    <w:p>
      <w:pPr>
        <w:spacing w:after="120" w:line="276" w:lineRule="auto"/>
      </w:pPr>
      <w:r>
        <w:t>• Cargo Weight vs. Delivery Time (r = 0.14): Shows a weak correlation, suggesting package weight has minimal impact on transit speed compared to distance and traffic.</w:t>
      </w:r>
    </w:p>
    <w:p>
      <w:pPr>
        <w:keepNext/>
        <w:spacing w:before="360" w:after="120"/>
      </w:pPr>
      <w:r>
        <w:rPr>
          <w:rFonts w:ascii="Arial" w:hAnsi="Arial"/>
          <w:b/>
          <w:color w:val="003366"/>
          <w:sz w:val="32"/>
        </w:rPr>
        <w:t>4. Python Code Pipeline Implementation</w:t>
      </w:r>
    </w:p>
    <w:p>
      <w:pPr>
        <w:spacing w:after="120" w:line="276" w:lineRule="auto"/>
      </w:pPr>
      <w:r>
        <w:t>The exploratory analysis and correlation matrices were executed using Python. Below is the complete, executable code utilized for statistical aggregation and visualization.</w:t>
      </w:r>
    </w:p>
    <w:tbl>
      <w:tblPr>
        <w:tblW w:type="auto" w:w="0"/>
        <w:tblLook w:firstColumn="1" w:firstRow="1" w:lastColumn="0" w:lastRow="0" w:noHBand="0" w:noVBand="1" w:val="04A0"/>
      </w:tblPr>
      <w:tblGrid>
        <w:gridCol w:w="9360"/>
      </w:tblGrid>
      <w:tr>
        <w:tc>
          <w:tcPr>
            <w:tcW w:type="dxa" w:w="9360"/>
            <w:shd w:fill="F9F9F9"/>
          </w:tcPr>
          <w:p>
            <w:pPr>
              <w:spacing w:before="80" w:after="80"/>
            </w:pPr>
            <w:r>
              <w:rPr>
                <w:rFonts w:ascii="Consolas" w:hAnsi="Consolas"/>
                <w:color w:val="1E1E1E"/>
                <w:sz w:val="19"/>
              </w:rPr>
              <w:t>import pandas as pd</w:t>
              <w:br/>
              <w:t>import numpy as np</w:t>
              <w:br/>
              <w:t>import matplotlib.pyplot as plt</w:t>
              <w:br/>
              <w:t>import seaborn as sns</w:t>
              <w:br/>
              <w:br/>
              <w:t># 1. Load Preprocessed Dataset</w:t>
              <w:br/>
              <w:t>df = pd.read_csv('logistics_dataset_100_rows.csv')</w:t>
              <w:br/>
              <w:br/>
              <w:t># 2. Descriptive Statistics</w:t>
              <w:br/>
              <w:t>print(df.describe())</w:t>
              <w:br/>
              <w:br/>
              <w:t># 3. Correlation Matrix</w:t>
              <w:br/>
              <w:t>corr_matrix = df[['Distance (km)', 'Cargo Weight (kg)', 'Traffic Delay (mins)', 'Delivery Time (mins)']].corr()</w:t>
              <w:br/>
              <w:t>print(corr_matrix)</w:t>
              <w:br/>
              <w:br/>
              <w:t># 4. Visualizations (Heatmap &amp; Scatter Plot)</w:t>
              <w:br/>
              <w:t>sns.heatmap(corr_matrix, annot=True, cmap='Blues', fmt='.2f')</w:t>
              <w:br/>
              <w:t>plt.title('Correlation Heatmap')</w:t>
              <w:br/>
              <w:t>plt.savefig('task3_correlation_heatmap.png', dpi=300)</w:t>
              <w:br/>
              <w:t>plt.close()</w:t>
            </w:r>
          </w:p>
        </w:tc>
      </w:tr>
    </w:tbl>
    <w:p>
      <w:pPr>
        <w:spacing w:after="120"/>
      </w:pPr>
    </w:p>
    <w:p>
      <w:pPr>
        <w:keepNext/>
        <w:spacing w:before="360" w:after="120"/>
      </w:pPr>
      <w:r>
        <w:rPr>
          <w:rFonts w:ascii="Arial" w:hAnsi="Arial"/>
          <w:b/>
          <w:color w:val="003366"/>
          <w:sz w:val="32"/>
        </w:rPr>
        <w:t>5. Visualizations &amp; Analytical Interpretations</w:t>
      </w:r>
    </w:p>
    <w:p>
      <w:pPr>
        <w:spacing w:after="120" w:line="276" w:lineRule="auto"/>
      </w:pPr>
      <w:r>
        <w:t>The visualizations below illustrate the correlation structure and the interaction between transit distance, traffic congestion, and delivery duration.</w:t>
      </w:r>
    </w:p>
    <w:p>
      <w:r/>
    </w:p>
    <w:p>
      <w:pPr>
        <w:spacing w:after="120"/>
      </w:pPr>
    </w:p>
    <w:p>
      <w:r/>
    </w:p>
    <w:p>
      <w:pPr>
        <w:spacing w:after="120" w:line="276" w:lineRule="auto"/>
      </w:pPr>
      <w:r>
        <w:t>Analytical Insights:</w:t>
        <w:br/>
        <w:t>1. Route Optimization Priority: Because distance has a strong correlation (0.83) with delivery time, dynamic route planning algorithms offer the highest potential for time reduction.</w:t>
        <w:br/>
        <w:t>2. Congestion Bottlenecks: Peak-hour traffic delays account for substantial delivery variance (up to 60 mins), requiring alternative urban routing windows.</w:t>
      </w:r>
    </w:p>
    <w:p>
      <w:pPr>
        <w:keepNext/>
        <w:spacing w:before="360" w:after="120"/>
      </w:pPr>
      <w:r>
        <w:rPr>
          <w:rFonts w:ascii="Arial" w:hAnsi="Arial"/>
          <w:b/>
          <w:color w:val="003366"/>
          <w:sz w:val="32"/>
        </w:rPr>
        <w:t>6. Strategic Recommendations &amp; Conclusion</w:t>
      </w:r>
    </w:p>
    <w:p>
      <w:pPr>
        <w:spacing w:after="120" w:line="276" w:lineRule="auto"/>
      </w:pPr>
      <w:r>
        <w:t>Based on Task 3 exploratory insights, supply chain leadership should implement real-time traffic-aware navigation tools and rezone warehouse fulfillment hubs to reduce average transit distances. These data-driven measures will enhance SLA compliance and reduce last-mile operational costs.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