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Comparison and Notes for the Owner</w:t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Villa No. 12, Pinnacle Pavillion – for the Owner only. Do not hand this sheet to the tenant.</w:t>
      </w:r>
    </w:p>
    <w:p>
      <w:pPr>
        <w:pStyle w:val="Heading2"/>
        <w:keepNext/>
        <w:spacing w:after="100" w:before="220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1. How the two drafts compare</w:t>
      </w:r>
    </w:p>
    <w:p>
      <w:pPr>
        <w:spacing w:after="100" w:line="276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Word draft (RENTAL_AGREEMENT.docx):</w:t>
      </w:r>
      <w:r>
        <w:rPr>
          <w:rFonts w:ascii="Cambria" w:cs="Cambria" w:eastAsia="Cambria" w:hAnsi="Cambria"/>
          <w:sz w:val="22"/>
          <w:szCs w:val="22"/>
        </w:rPr>
        <w:t xml:space="preserve"> strongly owner-protective, but contains several errors that a tenant or a court could use against you.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PDF draft:</w:t>
      </w:r>
      <w:r>
        <w:rPr>
          <w:rFonts w:ascii="Cambria" w:cs="Cambria" w:eastAsia="Cambria" w:hAnsi="Cambria"/>
          <w:sz w:val="22"/>
          <w:szCs w:val="22"/>
        </w:rPr>
        <w:t xml:space="preserve"> legally careful and well-organised, but soft for an owner (many "subject to law" hedges, a blank rent-increase field) and no carpentry ownership split. The new agreement keeps the PDF's legal structure and the Word draft's owner protections, fixes the errors, and adds your instructions.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Problem found in old drafts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What the new agreement does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Bar / use clause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cl.5 says the tenant "</w:t>
            </w: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shall</w:t>
            </w:r>
            <w:r>
              <w:rPr>
                <w:rFonts w:ascii="Cambria" w:cs="Cambria" w:eastAsia="Cambria" w:hAnsi="Cambria"/>
                <w:sz w:val="22"/>
                <w:szCs w:val="22"/>
              </w:rPr>
              <w:t xml:space="preserve"> use the building for Bar" – the word "not" is missing, so it actually permits a bar.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Cl.8: strictly residential; bar, PG, Airbnb, office, business/GST registration all prohibited.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Deposit paid in cash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cl.3: Rs. 5 lakh "by way of cash". Taking Rs. 2 lakh or more in cash is barred by Income-tax Sec 269ST; the penalty can equal the amount received.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Cl.6.2 + Schedule F: bank transfer/cheque only, with the UTR recorded.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GST on rent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cl.2: rent "with applicable GST". Residential rent is normally GST-exempt, so this causes confusion.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Cl.3.3: no GST added; any reverse-charge tax that applies to the tenant is the tenant's.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Default eviction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cl.8: owner "shall take possession without any hindrance" after 3 months' default. Self-help eviction is illegal and unenforceable.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Cl.4.2 / 20.3: 2 months' default is a ground to approach the Rent Court, plus a late fee of Rs. 100/day.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Rent increase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Word: none. PDF: blank "____%", applied from Oct 2027 (which does not match the 11-month term).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Cl.5: 3–5% every year on mutual written agreement, minimum 3%, from 13 Sep 2027, with a worked table. No agreement means no renewal.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Carpentry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Both: only the tenant's liability; nothing on who maintains woodwork otherwise.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Cl.11–12: all woodwork maintenance is the owner's responsibility and goes to the owner's carpenter only; tenant-caused damage is charged in full.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Repairs split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cl.12: "all regular maintenance" on the tenant – too vague and risky under the Act.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Cl.11: a clear owner/tenant table.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Duplicate clauses / typos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cl.6 and 13 are identical; "Whichterm", "aunthorized", "his heirs" for a female owner, numbering "25. 11."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Cleaned up and renumbered; correct gender references.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Copies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cl.25: tenant keeps the original, owner only a Xerox copy – weak evidence for you.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Cl.27.4: two originals, one for each party.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Aadhaar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 prints the owner's full Aadhaar number.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Only the last 4 digits are shown (privacy and misuse risk).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Key count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Both say 17 door keys, but only 7 key numbers are listed.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Schedule C table with a physical-count line. Fill in the missing doors/numbers before signing.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Word: silent. PDF: mentioned briefly.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sz w:val="22"/>
                <w:szCs w:val="22"/>
              </w:rPr>
              <w:t xml:space="preserve">Cl.23: intimate to the Rent Authority (tenancy.tn.gov.in) within 90 days, stamp duty shared.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2. New protective clauses added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6-month lock-in period (cl.2.2)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Late-payment charge of Rs. 100/day (cl.4)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Deposit cannot be adjusted against the last months' rent; tenant must top it up if deductions are made (cl.6)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Final bills and association no-dues certificate at exit (cl.7.3)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Occupant list, pets only with consent, no business/GST registration at your address (cl.8, Sch. D)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Police verification consent (cl.9)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Overstay compensation: 2× rent for the first 2 months, then 4× (cl.21.3)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Items left behind treated as abandoned after notice (cl.21.4)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Indemnity; owner not liable for the tenant's belongings (cl.18)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Sale of the property and death of the tenant (cl.19)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Force majeure, entire agreement, no waiver (cl.25, 27)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Move-in/handover condition table, meter readings, payment schedule (Sch. B, E, F)</w:t>
      </w:r>
    </w:p>
    <w:p>
      <w:pPr>
        <w:pStyle w:val="Heading2"/>
        <w:keepNext/>
        <w:spacing w:after="100" w:before="220"/>
      </w:pPr>
      <w:r>
        <w:rPr>
          <w:rFonts w:ascii="Cambria" w:cs="Cambria" w:eastAsia="Cambria" w:hAnsi="Cambria"/>
          <w:b/>
          <w:bCs/>
          <w:color w:val="1F3864"/>
          <w:sz w:val="23"/>
          <w:szCs w:val="23"/>
        </w:rPr>
        <w:t xml:space="preserve">3. Points to check before signing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Deposit of Rs. 5 lakh (about 8.8 months' rent):</w:t>
      </w:r>
      <w:r>
        <w:rPr>
          <w:rFonts w:ascii="Cambria" w:cs="Cambria" w:eastAsia="Cambria" w:hAnsi="Cambria"/>
          <w:sz w:val="22"/>
          <w:szCs w:val="22"/>
        </w:rPr>
        <w:t xml:space="preserve"> The Act lets the parties agree the deposit amount in writing (cl.6.1 records this). Because it is far above the usual 2–3 months, ask a local advocate to confirm the current Section 11 position. Some tenants may push back on it.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Painting internal + external at the tenant's cost (cl.22):</w:t>
      </w:r>
      <w:r>
        <w:rPr>
          <w:rFonts w:ascii="Cambria" w:cs="Cambria" w:eastAsia="Cambria" w:hAnsi="Cambria"/>
          <w:sz w:val="22"/>
          <w:szCs w:val="22"/>
        </w:rPr>
        <w:t xml:space="preserve"> This is the clause tenants dispute most after a short 11-month stay. It is valid if agreed, but a fixed painting charge (e.g., Rs. ____ deducted at exit) is easier to enforce than "paint the whole house".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Owner name:</w:t>
      </w:r>
      <w:r>
        <w:rPr>
          <w:rFonts w:ascii="Cambria" w:cs="Cambria" w:eastAsia="Cambria" w:hAnsi="Cambria"/>
          <w:sz w:val="22"/>
          <w:szCs w:val="22"/>
        </w:rPr>
        <w:t xml:space="preserve"> The agreement names Mrs. S. Narmatha as owner, as both drafts do. If the property is in your name, or jointly owned, change the Owner block and the bank account.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Fill in the blanks:</w:t>
      </w:r>
      <w:r>
        <w:rPr>
          <w:rFonts w:ascii="Cambria" w:cs="Cambria" w:eastAsia="Cambria" w:hAnsi="Cambria"/>
          <w:sz w:val="22"/>
          <w:szCs w:val="22"/>
        </w:rPr>
        <w:t xml:space="preserve"> tenant details, execution date, Schedule A property numbers, paint codes, the key-to-door mapping, bank details and the deposit UTR.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Stamp paper value and registration:</w:t>
      </w:r>
      <w:r>
        <w:rPr>
          <w:rFonts w:ascii="Cambria" w:cs="Cambria" w:eastAsia="Cambria" w:hAnsi="Cambria"/>
          <w:sz w:val="22"/>
          <w:szCs w:val="22"/>
        </w:rPr>
        <w:t xml:space="preserve"> confirm the current stamp duty with the stamp vendor/sub-registrar. Complete the Rent Authority intimation within 90 days; without it, it is harder to use the Act's Rent Court remedies.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Have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every page initialled</w:t>
      </w:r>
      <w:r>
        <w:rPr>
          <w:rFonts w:ascii="Cambria" w:cs="Cambria" w:eastAsia="Cambria" w:hAnsi="Cambria"/>
          <w:sz w:val="22"/>
          <w:szCs w:val="22"/>
        </w:rPr>
        <w:t xml:space="preserve"> by both parties (the footer has space for this) and take the dated move-in video before handing over the keys.</w:t>
      </w:r>
    </w:p>
    <w:p>
      <w:pPr>
        <w:spacing w:after="100" w:line="276"/>
        <w:jc w:val="both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This draft is based on general knowledge of Tamil Nadu tenancy practice and is not a substitute for advice from a local advocate, who should review it before execution.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sz w:val="16"/>
        <w:szCs w:val="16"/>
      </w:rPr>
      <w:t xml:space="preserve">Owner's notes –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and Notes</dc:title>
  <dc:creator>Un-named</dc:creator>
  <cp:lastModifiedBy>Un-named</cp:lastModifiedBy>
  <cp:revision>1</cp:revision>
  <dcterms:created xsi:type="dcterms:W3CDTF">2026-10-13T17:14:15.069Z</dcterms:created>
  <dcterms:modified xsi:type="dcterms:W3CDTF">2026-10-13T17:14:15.069Z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