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pPr>
      <w:r>
        <w:rPr>
          <w:b/>
          <w:color w:val="1F668B"/>
          <w:sz w:val="22"/>
        </w:rPr>
        <w:t>PROJECT REPORT</w:t>
      </w:r>
    </w:p>
    <w:p>
      <w:pPr>
        <w:pStyle w:val="Title"/>
      </w:pPr>
      <w:r>
        <w:t>Phishing Website Classification</w:t>
        <w:br/>
        <w:t>with Linear Discriminant Analysis</w:t>
      </w:r>
    </w:p>
    <w:p>
      <w:r>
        <w:t>Implementation, evaluation and localhost demonstration</w:t>
      </w:r>
    </w:p>
    <w:p>
      <w:r>
        <w:t>Prepared from the project repository and its generated experiment artifacts  |  31 October 2026</w:t>
      </w:r>
    </w:p>
    <w:p>
      <w:pPr>
        <w:pStyle w:val="Heading1"/>
      </w:pPr>
      <w:r>
        <w:t>Executive summary</w:t>
      </w:r>
    </w:p>
    <w:p>
      <w:r>
        <w:t>We built a reproducible machine-learning project that classifies precomputed website indicators as phishing or legitimate using Linear Discriminant Analysis (LDA). The work includes a dataset audit, a training pipeline, model selection, held-out evaluation, saved outputs and a FastAPI demonstration interface. The local dataset contains 11,054 rows and 30 usable indicators after excluding the sequential Index and target column.</w:t>
      </w:r>
    </w:p>
    <w:p>
      <w:r>
        <w:t>The generated results record shows 91.68% test accuracy, 90.40% F1 and 0.974 ROC AUC on a stratified test set of 2,211 records. The selected configuration was the SVD solver, with a mean training-only five-fold F1 of 0.9099. These figures describe one random split of this fixed benchmark; they do not establish performance on future sites or a production feed.</w:t>
      </w:r>
    </w:p>
    <w:p>
      <w:r>
        <w:t>The project’s main contribution is an end-to-end, inspectable baseline rather than a new detection algorithm. Its workflow makes the target mapping explicit, keeps the test partition out of model selection, persists the fitted pipeline, and exposes the data and predictions through a local web application. Current source and outputs are present, but two written notes are out of date: the results note says no run occurred, and the setup note describes median imputation absent from current preprocessing code. This report uses the generated JSON and code as the primary record and documents the discrepancies.</w:t>
      </w:r>
    </w:p>
    <w:p>
      <w:pPr>
        <w:pStyle w:val="Heading2"/>
      </w:pPr>
      <w:r>
        <w:t>At a glance</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83B56"/>
            <w:tcMar>
              <w:top w:w="85" w:type="dxa"/>
              <w:start w:w="100" w:type="dxa"/>
              <w:bottom w:w="85" w:type="dxa"/>
              <w:end w:w="100" w:type="dxa"/>
            </w:tcMar>
          </w:tcPr>
          <w:p>
            <w:r>
              <w:rPr>
                <w:b/>
                <w:color w:val="FFFFFF"/>
                <w:sz w:val="18"/>
              </w:rPr>
              <w:t>Area</w:t>
            </w:r>
          </w:p>
        </w:tc>
        <w:tc>
          <w:tcPr>
            <w:tcW w:type="dxa" w:w="4939"/>
            <w:shd w:fill="183B56"/>
            <w:tcMar>
              <w:top w:w="85" w:type="dxa"/>
              <w:start w:w="100" w:type="dxa"/>
              <w:bottom w:w="85" w:type="dxa"/>
              <w:end w:w="100" w:type="dxa"/>
            </w:tcMar>
          </w:tcPr>
          <w:p>
            <w:r>
              <w:rPr>
                <w:b/>
                <w:color w:val="FFFFFF"/>
                <w:sz w:val="18"/>
              </w:rPr>
              <w:t>Current project state</w:t>
            </w:r>
          </w:p>
        </w:tc>
      </w:tr>
      <w:tr>
        <w:trPr>
          <w:cantSplit/>
        </w:trPr>
        <w:tc>
          <w:tcPr>
            <w:tcW w:type="dxa" w:w="4939"/>
            <w:vAlign w:val="center"/>
            <w:tcMar>
              <w:top w:w="85" w:type="dxa"/>
              <w:start w:w="100" w:type="dxa"/>
              <w:bottom w:w="85" w:type="dxa"/>
              <w:end w:w="100" w:type="dxa"/>
            </w:tcMar>
          </w:tcPr>
          <w:p>
            <w:pPr>
              <w:spacing w:after="40"/>
            </w:pPr>
            <w:r>
              <w:rPr>
                <w:sz w:val="17"/>
              </w:rPr>
              <w:t>Task</w:t>
            </w:r>
          </w:p>
        </w:tc>
        <w:tc>
          <w:tcPr>
            <w:tcW w:type="dxa" w:w="4939"/>
            <w:vAlign w:val="center"/>
            <w:tcMar>
              <w:top w:w="85" w:type="dxa"/>
              <w:start w:w="100" w:type="dxa"/>
              <w:bottom w:w="85" w:type="dxa"/>
              <w:end w:w="100" w:type="dxa"/>
            </w:tcMar>
          </w:tcPr>
          <w:p>
            <w:pPr>
              <w:spacing w:after="40"/>
            </w:pPr>
            <w:r>
              <w:rPr>
                <w:sz w:val="17"/>
              </w:rPr>
              <w:t>Binary classification of structured phishing website indicators</w:t>
            </w:r>
          </w:p>
        </w:tc>
      </w:tr>
      <w:tr>
        <w:trPr>
          <w:cantSplit/>
        </w:trPr>
        <w:tc>
          <w:tcPr>
            <w:tcW w:type="dxa" w:w="4939"/>
            <w:vAlign w:val="center"/>
            <w:tcMar>
              <w:top w:w="85" w:type="dxa"/>
              <w:start w:w="100" w:type="dxa"/>
              <w:bottom w:w="85" w:type="dxa"/>
              <w:end w:w="100" w:type="dxa"/>
            </w:tcMar>
          </w:tcPr>
          <w:p>
            <w:pPr>
              <w:spacing w:after="40"/>
            </w:pPr>
            <w:r>
              <w:rPr>
                <w:sz w:val="17"/>
              </w:rPr>
              <w:t>Data</w:t>
            </w:r>
          </w:p>
        </w:tc>
        <w:tc>
          <w:tcPr>
            <w:tcW w:type="dxa" w:w="4939"/>
            <w:vAlign w:val="center"/>
            <w:tcMar>
              <w:top w:w="85" w:type="dxa"/>
              <w:start w:w="100" w:type="dxa"/>
              <w:bottom w:w="85" w:type="dxa"/>
              <w:end w:w="100" w:type="dxa"/>
            </w:tcMar>
          </w:tcPr>
          <w:p>
            <w:pPr>
              <w:spacing w:after="40"/>
            </w:pPr>
            <w:r>
              <w:rPr>
                <w:sz w:val="17"/>
              </w:rPr>
              <w:t>11,054 observations; 30 predictors; 4,897 phishing and 6,157 legitimate</w:t>
            </w:r>
          </w:p>
        </w:tc>
      </w:tr>
      <w:tr>
        <w:trPr>
          <w:cantSplit/>
        </w:trPr>
        <w:tc>
          <w:tcPr>
            <w:tcW w:type="dxa" w:w="4939"/>
            <w:vAlign w:val="center"/>
            <w:tcMar>
              <w:top w:w="85" w:type="dxa"/>
              <w:start w:w="100" w:type="dxa"/>
              <w:bottom w:w="85" w:type="dxa"/>
              <w:end w:w="100" w:type="dxa"/>
            </w:tcMar>
          </w:tcPr>
          <w:p>
            <w:pPr>
              <w:spacing w:after="40"/>
            </w:pPr>
            <w:r>
              <w:rPr>
                <w:sz w:val="17"/>
              </w:rPr>
              <w:t>Method</w:t>
            </w:r>
          </w:p>
        </w:tc>
        <w:tc>
          <w:tcPr>
            <w:tcW w:type="dxa" w:w="4939"/>
            <w:vAlign w:val="center"/>
            <w:tcMar>
              <w:top w:w="85" w:type="dxa"/>
              <w:start w:w="100" w:type="dxa"/>
              <w:bottom w:w="85" w:type="dxa"/>
              <w:end w:w="100" w:type="dxa"/>
            </w:tcMar>
          </w:tcPr>
          <w:p>
            <w:pPr>
              <w:spacing w:after="40"/>
            </w:pPr>
            <w:r>
              <w:rPr>
                <w:sz w:val="17"/>
              </w:rPr>
              <w:t>Classification LDA; SVD and LSQR with automatic shrinkage compared</w:t>
            </w:r>
          </w:p>
        </w:tc>
      </w:tr>
      <w:tr>
        <w:trPr>
          <w:cantSplit/>
        </w:trPr>
        <w:tc>
          <w:tcPr>
            <w:tcW w:type="dxa" w:w="4939"/>
            <w:vAlign w:val="center"/>
            <w:tcMar>
              <w:top w:w="85" w:type="dxa"/>
              <w:start w:w="100" w:type="dxa"/>
              <w:bottom w:w="85" w:type="dxa"/>
              <w:end w:w="100" w:type="dxa"/>
            </w:tcMar>
          </w:tcPr>
          <w:p>
            <w:pPr>
              <w:spacing w:after="40"/>
            </w:pPr>
            <w:r>
              <w:rPr>
                <w:sz w:val="17"/>
              </w:rPr>
              <w:t>Selection</w:t>
            </w:r>
          </w:p>
        </w:tc>
        <w:tc>
          <w:tcPr>
            <w:tcW w:type="dxa" w:w="4939"/>
            <w:vAlign w:val="center"/>
            <w:tcMar>
              <w:top w:w="85" w:type="dxa"/>
              <w:start w:w="100" w:type="dxa"/>
              <w:bottom w:w="85" w:type="dxa"/>
              <w:end w:w="100" w:type="dxa"/>
            </w:tcMar>
          </w:tcPr>
          <w:p>
            <w:pPr>
              <w:spacing w:after="40"/>
            </w:pPr>
            <w:r>
              <w:rPr>
                <w:sz w:val="17"/>
              </w:rPr>
              <w:t>Five-fold stratified CV on training data; F1 criterion</w:t>
            </w:r>
          </w:p>
        </w:tc>
      </w:tr>
      <w:tr>
        <w:trPr>
          <w:cantSplit/>
        </w:trPr>
        <w:tc>
          <w:tcPr>
            <w:tcW w:type="dxa" w:w="4939"/>
            <w:vAlign w:val="center"/>
            <w:tcMar>
              <w:top w:w="85" w:type="dxa"/>
              <w:start w:w="100" w:type="dxa"/>
              <w:bottom w:w="85" w:type="dxa"/>
              <w:end w:w="100" w:type="dxa"/>
            </w:tcMar>
          </w:tcPr>
          <w:p>
            <w:pPr>
              <w:spacing w:after="40"/>
            </w:pPr>
            <w:r>
              <w:rPr>
                <w:sz w:val="17"/>
              </w:rPr>
              <w:t>Evaluation</w:t>
            </w:r>
          </w:p>
        </w:tc>
        <w:tc>
          <w:tcPr>
            <w:tcW w:type="dxa" w:w="4939"/>
            <w:vAlign w:val="center"/>
            <w:tcMar>
              <w:top w:w="85" w:type="dxa"/>
              <w:start w:w="100" w:type="dxa"/>
              <w:bottom w:w="85" w:type="dxa"/>
              <w:end w:w="100" w:type="dxa"/>
            </w:tcMar>
          </w:tcPr>
          <w:p>
            <w:pPr>
              <w:spacing w:after="40"/>
            </w:pPr>
            <w:r>
              <w:rPr>
                <w:sz w:val="17"/>
              </w:rPr>
              <w:t>Single stratified 20% holdout; phishing is positive</w:t>
            </w:r>
          </w:p>
        </w:tc>
      </w:tr>
      <w:tr>
        <w:trPr>
          <w:cantSplit/>
        </w:trPr>
        <w:tc>
          <w:tcPr>
            <w:tcW w:type="dxa" w:w="4939"/>
            <w:vAlign w:val="center"/>
            <w:tcMar>
              <w:top w:w="85" w:type="dxa"/>
              <w:start w:w="100" w:type="dxa"/>
              <w:bottom w:w="85" w:type="dxa"/>
              <w:end w:w="100" w:type="dxa"/>
            </w:tcMar>
          </w:tcPr>
          <w:p>
            <w:pPr>
              <w:spacing w:after="40"/>
            </w:pPr>
            <w:r>
              <w:rPr>
                <w:sz w:val="17"/>
              </w:rPr>
              <w:t>Interface</w:t>
            </w:r>
          </w:p>
        </w:tc>
        <w:tc>
          <w:tcPr>
            <w:tcW w:type="dxa" w:w="4939"/>
            <w:vAlign w:val="center"/>
            <w:tcMar>
              <w:top w:w="85" w:type="dxa"/>
              <w:start w:w="100" w:type="dxa"/>
              <w:bottom w:w="85" w:type="dxa"/>
              <w:end w:w="100" w:type="dxa"/>
            </w:tcMar>
          </w:tcPr>
          <w:p>
            <w:pPr>
              <w:spacing w:after="40"/>
            </w:pPr>
            <w:r>
              <w:rPr>
                <w:sz w:val="17"/>
              </w:rPr>
              <w:t>FastAPI localhost app with dataset, methodology, evaluation and prediction pages</w:t>
            </w:r>
          </w:p>
        </w:tc>
      </w:tr>
    </w:tbl>
    <w:p>
      <w:r>
        <w:br w:type="page"/>
      </w:r>
    </w:p>
    <w:p>
      <w:pPr>
        <w:pStyle w:val="Heading1"/>
      </w:pPr>
      <w:r>
        <w:t>1  Project scope and dataset</w:t>
      </w:r>
    </w:p>
    <w:p>
      <w:r>
        <w:t>The project addresses a focused question: can a transparent linear classifier separate phishing from legitimate examples using the encoded properties already present in a benchmark dataset? It is a structured-feature task. The code does not fetch URLs, crawl web pages, resolve domains, or derive features from live traffic. This boundary matters when interpreting both the interface and the reported scores.</w:t>
      </w:r>
    </w:p>
    <w:p>
      <w:pPr>
        <w:pStyle w:val="Heading2"/>
      </w:pPr>
      <w:r>
        <w:t>Dataset audit</w:t>
      </w:r>
    </w:p>
    <w:p>
      <w:r>
        <w:t>The configured input is data/phishing.csv. The audit records 11,054 rows and 32 columns, with all fields stored as integers. The target column is class: −1 denotes phishing and +1 denotes legitimate. The project maps −1 to the positive class 1 and +1 to 0, so precision, recall, F1, and the positive side of the confusion matrix all refer to phishing.</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83B56"/>
            <w:tcMar>
              <w:top w:w="85" w:type="dxa"/>
              <w:start w:w="100" w:type="dxa"/>
              <w:bottom w:w="85" w:type="dxa"/>
              <w:end w:w="100" w:type="dxa"/>
            </w:tcMar>
          </w:tcPr>
          <w:p>
            <w:r>
              <w:rPr>
                <w:b/>
                <w:color w:val="FFFFFF"/>
                <w:sz w:val="18"/>
              </w:rPr>
              <w:t>Audit item</w:t>
            </w:r>
          </w:p>
        </w:tc>
        <w:tc>
          <w:tcPr>
            <w:tcW w:type="dxa" w:w="4939"/>
            <w:shd w:fill="183B56"/>
            <w:tcMar>
              <w:top w:w="85" w:type="dxa"/>
              <w:start w:w="100" w:type="dxa"/>
              <w:bottom w:w="85" w:type="dxa"/>
              <w:end w:w="100" w:type="dxa"/>
            </w:tcMar>
          </w:tcPr>
          <w:p>
            <w:r>
              <w:rPr>
                <w:b/>
                <w:color w:val="FFFFFF"/>
                <w:sz w:val="18"/>
              </w:rPr>
              <w:t>Finding</w:t>
            </w:r>
          </w:p>
        </w:tc>
      </w:tr>
      <w:tr>
        <w:trPr>
          <w:cantSplit/>
        </w:trPr>
        <w:tc>
          <w:tcPr>
            <w:tcW w:type="dxa" w:w="4939"/>
            <w:vAlign w:val="center"/>
            <w:tcMar>
              <w:top w:w="85" w:type="dxa"/>
              <w:start w:w="100" w:type="dxa"/>
              <w:bottom w:w="85" w:type="dxa"/>
              <w:end w:w="100" w:type="dxa"/>
            </w:tcMar>
          </w:tcPr>
          <w:p>
            <w:pPr>
              <w:spacing w:after="40"/>
            </w:pPr>
            <w:r>
              <w:rPr>
                <w:sz w:val="17"/>
              </w:rPr>
              <w:t>Rows / columns</w:t>
            </w:r>
          </w:p>
        </w:tc>
        <w:tc>
          <w:tcPr>
            <w:tcW w:type="dxa" w:w="4939"/>
            <w:vAlign w:val="center"/>
            <w:tcMar>
              <w:top w:w="85" w:type="dxa"/>
              <w:start w:w="100" w:type="dxa"/>
              <w:bottom w:w="85" w:type="dxa"/>
              <w:end w:w="100" w:type="dxa"/>
            </w:tcMar>
          </w:tcPr>
          <w:p>
            <w:pPr>
              <w:spacing w:after="40"/>
            </w:pPr>
            <w:r>
              <w:rPr>
                <w:sz w:val="17"/>
              </w:rPr>
              <w:t>11,054 / 32</w:t>
            </w:r>
          </w:p>
        </w:tc>
      </w:tr>
      <w:tr>
        <w:trPr>
          <w:cantSplit/>
        </w:trPr>
        <w:tc>
          <w:tcPr>
            <w:tcW w:type="dxa" w:w="4939"/>
            <w:vAlign w:val="center"/>
            <w:tcMar>
              <w:top w:w="85" w:type="dxa"/>
              <w:start w:w="100" w:type="dxa"/>
              <w:bottom w:w="85" w:type="dxa"/>
              <w:end w:w="100" w:type="dxa"/>
            </w:tcMar>
          </w:tcPr>
          <w:p>
            <w:pPr>
              <w:spacing w:after="40"/>
            </w:pPr>
            <w:r>
              <w:rPr>
                <w:sz w:val="17"/>
              </w:rPr>
              <w:t>Predictors</w:t>
            </w:r>
          </w:p>
        </w:tc>
        <w:tc>
          <w:tcPr>
            <w:tcW w:type="dxa" w:w="4939"/>
            <w:vAlign w:val="center"/>
            <w:tcMar>
              <w:top w:w="85" w:type="dxa"/>
              <w:start w:w="100" w:type="dxa"/>
              <w:bottom w:w="85" w:type="dxa"/>
              <w:end w:w="100" w:type="dxa"/>
            </w:tcMar>
          </w:tcPr>
          <w:p>
            <w:pPr>
              <w:spacing w:after="40"/>
            </w:pPr>
            <w:r>
              <w:rPr>
                <w:sz w:val="17"/>
              </w:rPr>
              <w:t>30 encoded numeric indicators</w:t>
            </w:r>
          </w:p>
        </w:tc>
      </w:tr>
      <w:tr>
        <w:trPr>
          <w:cantSplit/>
        </w:trPr>
        <w:tc>
          <w:tcPr>
            <w:tcW w:type="dxa" w:w="4939"/>
            <w:vAlign w:val="center"/>
            <w:tcMar>
              <w:top w:w="85" w:type="dxa"/>
              <w:start w:w="100" w:type="dxa"/>
              <w:bottom w:w="85" w:type="dxa"/>
              <w:end w:w="100" w:type="dxa"/>
            </w:tcMar>
          </w:tcPr>
          <w:p>
            <w:pPr>
              <w:spacing w:after="40"/>
            </w:pPr>
            <w:r>
              <w:rPr>
                <w:sz w:val="17"/>
              </w:rPr>
              <w:t>Phishing / legitimate</w:t>
            </w:r>
          </w:p>
        </w:tc>
        <w:tc>
          <w:tcPr>
            <w:tcW w:type="dxa" w:w="4939"/>
            <w:vAlign w:val="center"/>
            <w:tcMar>
              <w:top w:w="85" w:type="dxa"/>
              <w:start w:w="100" w:type="dxa"/>
              <w:bottom w:w="85" w:type="dxa"/>
              <w:end w:w="100" w:type="dxa"/>
            </w:tcMar>
          </w:tcPr>
          <w:p>
            <w:pPr>
              <w:spacing w:after="40"/>
            </w:pPr>
            <w:r>
              <w:rPr>
                <w:sz w:val="17"/>
              </w:rPr>
              <w:t>4,897 / 6,157 (44.3% / 55.7%)</w:t>
            </w:r>
          </w:p>
        </w:tc>
      </w:tr>
      <w:tr>
        <w:trPr>
          <w:cantSplit/>
        </w:trPr>
        <w:tc>
          <w:tcPr>
            <w:tcW w:type="dxa" w:w="4939"/>
            <w:vAlign w:val="center"/>
            <w:tcMar>
              <w:top w:w="85" w:type="dxa"/>
              <w:start w:w="100" w:type="dxa"/>
              <w:bottom w:w="85" w:type="dxa"/>
              <w:end w:w="100" w:type="dxa"/>
            </w:tcMar>
          </w:tcPr>
          <w:p>
            <w:pPr>
              <w:spacing w:after="40"/>
            </w:pPr>
            <w:r>
              <w:rPr>
                <w:sz w:val="17"/>
              </w:rPr>
              <w:t>Missing values</w:t>
            </w:r>
          </w:p>
        </w:tc>
        <w:tc>
          <w:tcPr>
            <w:tcW w:type="dxa" w:w="4939"/>
            <w:vAlign w:val="center"/>
            <w:tcMar>
              <w:top w:w="85" w:type="dxa"/>
              <w:start w:w="100" w:type="dxa"/>
              <w:bottom w:w="85" w:type="dxa"/>
              <w:end w:w="100" w:type="dxa"/>
            </w:tcMar>
          </w:tcPr>
          <w:p>
            <w:pPr>
              <w:spacing w:after="40"/>
            </w:pPr>
            <w:r>
              <w:rPr>
                <w:sz w:val="17"/>
              </w:rPr>
              <w:t>None in any column</w:t>
            </w:r>
          </w:p>
        </w:tc>
      </w:tr>
      <w:tr>
        <w:trPr>
          <w:cantSplit/>
        </w:trPr>
        <w:tc>
          <w:tcPr>
            <w:tcW w:type="dxa" w:w="4939"/>
            <w:vAlign w:val="center"/>
            <w:tcMar>
              <w:top w:w="85" w:type="dxa"/>
              <w:start w:w="100" w:type="dxa"/>
              <w:bottom w:w="85" w:type="dxa"/>
              <w:end w:w="100" w:type="dxa"/>
            </w:tcMar>
          </w:tcPr>
          <w:p>
            <w:pPr>
              <w:spacing w:after="40"/>
            </w:pPr>
            <w:r>
              <w:rPr>
                <w:sz w:val="17"/>
              </w:rPr>
              <w:t>Exact duplicate rows</w:t>
            </w:r>
          </w:p>
        </w:tc>
        <w:tc>
          <w:tcPr>
            <w:tcW w:type="dxa" w:w="4939"/>
            <w:vAlign w:val="center"/>
            <w:tcMar>
              <w:top w:w="85" w:type="dxa"/>
              <w:start w:w="100" w:type="dxa"/>
              <w:bottom w:w="85" w:type="dxa"/>
              <w:end w:w="100" w:type="dxa"/>
            </w:tcMar>
          </w:tcPr>
          <w:p>
            <w:pPr>
              <w:spacing w:after="40"/>
            </w:pPr>
            <w:r>
              <w:rPr>
                <w:sz w:val="17"/>
              </w:rPr>
              <w:t>None</w:t>
            </w:r>
          </w:p>
        </w:tc>
      </w:tr>
      <w:tr>
        <w:trPr>
          <w:cantSplit/>
        </w:trPr>
        <w:tc>
          <w:tcPr>
            <w:tcW w:type="dxa" w:w="4939"/>
            <w:vAlign w:val="center"/>
            <w:tcMar>
              <w:top w:w="85" w:type="dxa"/>
              <w:start w:w="100" w:type="dxa"/>
              <w:bottom w:w="85" w:type="dxa"/>
              <w:end w:w="100" w:type="dxa"/>
            </w:tcMar>
          </w:tcPr>
          <w:p>
            <w:pPr>
              <w:spacing w:after="40"/>
            </w:pPr>
            <w:r>
              <w:rPr>
                <w:sz w:val="17"/>
              </w:rPr>
              <w:t>Identifier</w:t>
            </w:r>
          </w:p>
        </w:tc>
        <w:tc>
          <w:tcPr>
            <w:tcW w:type="dxa" w:w="4939"/>
            <w:vAlign w:val="center"/>
            <w:tcMar>
              <w:top w:w="85" w:type="dxa"/>
              <w:start w:w="100" w:type="dxa"/>
              <w:bottom w:w="85" w:type="dxa"/>
              <w:end w:w="100" w:type="dxa"/>
            </w:tcMar>
          </w:tcPr>
          <w:p>
            <w:pPr>
              <w:spacing w:after="40"/>
            </w:pPr>
            <w:r>
              <w:rPr>
                <w:sz w:val="17"/>
              </w:rPr>
              <w:t>Index; 11,054 unique values, excluded</w:t>
            </w:r>
          </w:p>
        </w:tc>
      </w:tr>
      <w:tr>
        <w:trPr>
          <w:cantSplit/>
        </w:trPr>
        <w:tc>
          <w:tcPr>
            <w:tcW w:type="dxa" w:w="4939"/>
            <w:vAlign w:val="center"/>
            <w:tcMar>
              <w:top w:w="85" w:type="dxa"/>
              <w:start w:w="100" w:type="dxa"/>
              <w:bottom w:w="85" w:type="dxa"/>
              <w:end w:w="100" w:type="dxa"/>
            </w:tcMar>
          </w:tcPr>
          <w:p>
            <w:pPr>
              <w:spacing w:after="40"/>
            </w:pPr>
            <w:r>
              <w:rPr>
                <w:sz w:val="17"/>
              </w:rPr>
              <w:t>Raw URL available?</w:t>
            </w:r>
          </w:p>
        </w:tc>
        <w:tc>
          <w:tcPr>
            <w:tcW w:type="dxa" w:w="4939"/>
            <w:vAlign w:val="center"/>
            <w:tcMar>
              <w:top w:w="85" w:type="dxa"/>
              <w:start w:w="100" w:type="dxa"/>
              <w:bottom w:w="85" w:type="dxa"/>
              <w:end w:w="100" w:type="dxa"/>
            </w:tcMar>
          </w:tcPr>
          <w:p>
            <w:pPr>
              <w:spacing w:after="40"/>
            </w:pPr>
            <w:r>
              <w:rPr>
                <w:sz w:val="17"/>
              </w:rPr>
              <w:t>No</w:t>
            </w:r>
          </w:p>
        </w:tc>
      </w:tr>
    </w:tbl>
    <w:p>
      <w:r>
        <w:t>The feature set represents coded URL, page, domain, and reputation properties. Because the file has no raw URL and the Index is a sequential row identifier, the trained model should be understood as classifying these supplied indicators, not as a browser-time URL scanner. No categorical encoder is needed for this verified local file; the current preprocessor standardizes numeric columns. The separate setup note mentions median imputation, but that behavior is not in the present src/preprocessing.py. The audited file contains no missing values, so this discrepancy does not alter this run’s data values, but the documentation should be corrected for future datasets.</w:t>
      </w:r>
    </w:p>
    <w:p>
      <w:pPr>
        <w:pStyle w:val="Heading2"/>
      </w:pPr>
      <w:r>
        <w:t>Data quality and split implications</w:t>
      </w:r>
    </w:p>
    <w:p>
      <w:r>
        <w:t>There is no predefined train/test split or domain key. The implementation uses a stratified random split, preserving approximate class proportions. Exact duplicate records are absent, but the available schema does not let us group by domain or verify that closely related sites cannot appear across partitions. Sequential Index values also make row order visible; the current split shuffles through the library’s stratified split routine, but the dataset does not provide a time field for a forward-in-time test.</w:t>
      </w:r>
    </w:p>
    <w:p>
      <w:r>
        <w:t>The dataset profile cites literature that identifies this family of 30-indicator phishing website data. We use that context to describe likely feature categories, not to infer that the benchmark reproduces modern web traffic. Distribution, labeling practices, feature extraction and reputation sources may differ from those in a current operational environment.</w:t>
      </w:r>
    </w:p>
    <w:p>
      <w:r>
        <w:br w:type="page"/>
      </w:r>
    </w:p>
    <w:p>
      <w:pPr>
        <w:pStyle w:val="Heading1"/>
      </w:pPr>
      <w:r>
        <w:t>2  Method and experiment design</w:t>
      </w:r>
    </w:p>
    <w:p>
      <w:r>
        <w:t>The classifier is scikit-learn’s classification form of LDA. It models class-conditional feature vectors with Gaussian distributions and a shared covariance matrix. The shared covariance assumption yields linear class-score boundaries. LDA does not require features to be conditionally independent, but its linear boundary may not represent nonlinear interactions in the indicators.</w:t>
      </w:r>
    </w:p>
    <w:p>
      <w:pPr>
        <w:pStyle w:val="Heading2"/>
      </w:pPr>
      <w:r>
        <w:t>Model selection and evaluation sequence</w:t>
      </w:r>
    </w:p>
    <w:p>
      <w:pPr>
        <w:pStyle w:val="ListBullet"/>
        <w:spacing w:after="60"/>
      </w:pPr>
      <w:r>
        <w:t>Load and validate the configured CSV and its expected labels.</w:t>
      </w:r>
    </w:p>
    <w:p>
      <w:pPr>
        <w:pStyle w:val="ListBullet"/>
        <w:spacing w:after="60"/>
      </w:pPr>
      <w:r>
        <w:t>Map phishing (−1) to positive class 1; remove class and Index from X.</w:t>
      </w:r>
    </w:p>
    <w:p>
      <w:pPr>
        <w:pStyle w:val="ListBullet"/>
        <w:spacing w:after="60"/>
      </w:pPr>
      <w:r>
        <w:t>Create a stratified 80/20 train/test split with random seed 42.</w:t>
      </w:r>
    </w:p>
    <w:p>
      <w:pPr>
        <w:pStyle w:val="ListBullet"/>
        <w:spacing w:after="60"/>
      </w:pPr>
      <w:r>
        <w:t>On the training partition only, compare SVD LDA with LSQR plus automatic shrinkage using stratified five-fold cross-validation and F1.</w:t>
      </w:r>
    </w:p>
    <w:p>
      <w:pPr>
        <w:pStyle w:val="ListBullet"/>
        <w:spacing w:after="60"/>
      </w:pPr>
      <w:r>
        <w:t>Choose the candidate with the higher mean cross-validation F1, fit its preprocessing and classifier on all training rows, then evaluate once on the untouched test rows.</w:t>
      </w:r>
    </w:p>
    <w:p>
      <w:r>
        <w:t>The configuration declares five folds, an 80% training share and seed 42. Each cross-validation fold fits its own preprocessing as part of a scikit-learn Pipeline, preventing the scaler from learning test-fold statistics. The final selected pipeline is then refit on the complete training partition.</w:t>
      </w:r>
    </w:p>
    <w:p>
      <w:pPr>
        <w:pStyle w:val="Heading2"/>
      </w:pPr>
      <w:r>
        <w:t>Why compare these candidates</w:t>
      </w:r>
    </w:p>
    <w:p>
      <w:r>
        <w:t>The SVD solver uses a rank-aware approach and does not expose shrinkage. LSQR supports automatic covariance shrinkage, which can stabilize covariance estimates when predictors are correlated or covariance estimation is poorly conditioned. The two options are compared as complete pipeline candidates. This procedure selects a practical estimator configuration; it is not a direct empirical test of every mathematical assumption behind LDA.</w:t>
      </w:r>
    </w:p>
    <w:p>
      <w:pPr>
        <w:pStyle w:val="Heading2"/>
      </w:pPr>
      <w:r>
        <w:t>Mathematical interpretation</w:t>
      </w:r>
    </w:p>
    <w:p>
      <w:r>
        <w:t>For class k, LDA assigns a score δₖ(x) = xᵀΣ⁻¹μₖ − ½μₖᵀΣ⁻¹μₖ + log πₖ, where μₖ is the class mean, Σ is shared covariance and πₖ is the prior. The predicted class has the largest score. In the two-class case, between-class scatter has rank at most one, so there is at most one nonzero Fisher discriminant direction. This classification objective should not be confused with using LDA solely to reduce dimensions for a later classifier.</w:t>
      </w:r>
    </w:p>
    <w:p>
      <w:r>
        <w:t>Standardization is applied to numeric predictors within the pipeline. The results file reports a candidate CV F1 standard deviation as well as its mean; the near-equal means suggest the selection is marginal. The test metrics provide the estimate for the chosen candidate only, on the configured split.</w:t>
      </w:r>
    </w:p>
    <w:p>
      <w:r>
        <w:br w:type="page"/>
      </w:r>
    </w:p>
    <w:p>
      <w:pPr>
        <w:pStyle w:val="Heading1"/>
      </w:pPr>
      <w:r>
        <w:t>3  Software implementation</w:t>
      </w:r>
    </w:p>
    <w:p>
      <w:r>
        <w:t>The repository separates data handling, preprocessing, training, prediction and web presentation. This structure keeps the model pipeline explicit and lets the application consume saved artifacts without triggering a new training run on page load.</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83B56"/>
            <w:tcMar>
              <w:top w:w="85" w:type="dxa"/>
              <w:start w:w="100" w:type="dxa"/>
              <w:bottom w:w="85" w:type="dxa"/>
              <w:end w:w="100" w:type="dxa"/>
            </w:tcMar>
          </w:tcPr>
          <w:p>
            <w:r>
              <w:rPr>
                <w:b/>
                <w:color w:val="FFFFFF"/>
                <w:sz w:val="18"/>
              </w:rPr>
              <w:t>Component</w:t>
            </w:r>
          </w:p>
        </w:tc>
        <w:tc>
          <w:tcPr>
            <w:tcW w:type="dxa" w:w="4939"/>
            <w:shd w:fill="183B56"/>
            <w:tcMar>
              <w:top w:w="85" w:type="dxa"/>
              <w:start w:w="100" w:type="dxa"/>
              <w:bottom w:w="85" w:type="dxa"/>
              <w:end w:w="100" w:type="dxa"/>
            </w:tcMar>
          </w:tcPr>
          <w:p>
            <w:r>
              <w:rPr>
                <w:b/>
                <w:color w:val="FFFFFF"/>
                <w:sz w:val="18"/>
              </w:rPr>
              <w:t>Role</w:t>
            </w:r>
          </w:p>
        </w:tc>
      </w:tr>
      <w:tr>
        <w:trPr>
          <w:cantSplit/>
        </w:trPr>
        <w:tc>
          <w:tcPr>
            <w:tcW w:type="dxa" w:w="4939"/>
            <w:vAlign w:val="center"/>
            <w:tcMar>
              <w:top w:w="85" w:type="dxa"/>
              <w:start w:w="100" w:type="dxa"/>
              <w:bottom w:w="85" w:type="dxa"/>
              <w:end w:w="100" w:type="dxa"/>
            </w:tcMar>
          </w:tcPr>
          <w:p>
            <w:pPr>
              <w:spacing w:after="40"/>
            </w:pPr>
            <w:r>
              <w:rPr>
                <w:sz w:val="17"/>
              </w:rPr>
              <w:t>src/data_loader.py</w:t>
            </w:r>
          </w:p>
        </w:tc>
        <w:tc>
          <w:tcPr>
            <w:tcW w:type="dxa" w:w="4939"/>
            <w:vAlign w:val="center"/>
            <w:tcMar>
              <w:top w:w="85" w:type="dxa"/>
              <w:start w:w="100" w:type="dxa"/>
              <w:bottom w:w="85" w:type="dxa"/>
              <w:end w:w="100" w:type="dxa"/>
            </w:tcMar>
          </w:tcPr>
          <w:p>
            <w:pPr>
              <w:spacing w:after="40"/>
            </w:pPr>
            <w:r>
              <w:rPr>
                <w:sz w:val="17"/>
              </w:rPr>
              <w:t>Reads experiment configuration, loads CSV, validates target labels</w:t>
            </w:r>
          </w:p>
        </w:tc>
      </w:tr>
      <w:tr>
        <w:trPr>
          <w:cantSplit/>
        </w:trPr>
        <w:tc>
          <w:tcPr>
            <w:tcW w:type="dxa" w:w="4939"/>
            <w:vAlign w:val="center"/>
            <w:tcMar>
              <w:top w:w="85" w:type="dxa"/>
              <w:start w:w="100" w:type="dxa"/>
              <w:bottom w:w="85" w:type="dxa"/>
              <w:end w:w="100" w:type="dxa"/>
            </w:tcMar>
          </w:tcPr>
          <w:p>
            <w:pPr>
              <w:spacing w:after="40"/>
            </w:pPr>
            <w:r>
              <w:rPr>
                <w:sz w:val="17"/>
              </w:rPr>
              <w:t>src/preprocessing.py</w:t>
            </w:r>
          </w:p>
        </w:tc>
        <w:tc>
          <w:tcPr>
            <w:tcW w:type="dxa" w:w="4939"/>
            <w:vAlign w:val="center"/>
            <w:tcMar>
              <w:top w:w="85" w:type="dxa"/>
              <w:start w:w="100" w:type="dxa"/>
              <w:bottom w:w="85" w:type="dxa"/>
              <w:end w:w="100" w:type="dxa"/>
            </w:tcMar>
          </w:tcPr>
          <w:p>
            <w:pPr>
              <w:spacing w:after="40"/>
            </w:pPr>
            <w:r>
              <w:rPr>
                <w:sz w:val="17"/>
              </w:rPr>
              <w:t>Maps the positive class and removes target and identifier; builds numeric scaler</w:t>
            </w:r>
          </w:p>
        </w:tc>
      </w:tr>
      <w:tr>
        <w:trPr>
          <w:cantSplit/>
        </w:trPr>
        <w:tc>
          <w:tcPr>
            <w:tcW w:type="dxa" w:w="4939"/>
            <w:vAlign w:val="center"/>
            <w:tcMar>
              <w:top w:w="85" w:type="dxa"/>
              <w:start w:w="100" w:type="dxa"/>
              <w:bottom w:w="85" w:type="dxa"/>
              <w:end w:w="100" w:type="dxa"/>
            </w:tcMar>
          </w:tcPr>
          <w:p>
            <w:pPr>
              <w:spacing w:after="40"/>
            </w:pPr>
            <w:r>
              <w:rPr>
                <w:sz w:val="17"/>
              </w:rPr>
              <w:t>src/train.py</w:t>
            </w:r>
          </w:p>
        </w:tc>
        <w:tc>
          <w:tcPr>
            <w:tcW w:type="dxa" w:w="4939"/>
            <w:vAlign w:val="center"/>
            <w:tcMar>
              <w:top w:w="85" w:type="dxa"/>
              <w:start w:w="100" w:type="dxa"/>
              <w:bottom w:w="85" w:type="dxa"/>
              <w:end w:w="100" w:type="dxa"/>
            </w:tcMar>
          </w:tcPr>
          <w:p>
            <w:pPr>
              <w:spacing w:after="40"/>
            </w:pPr>
            <w:r>
              <w:rPr>
                <w:sz w:val="17"/>
              </w:rPr>
              <w:t>Splits, cross-validates candidates, fits selected pipeline, computes metrics and artifacts</w:t>
            </w:r>
          </w:p>
        </w:tc>
      </w:tr>
      <w:tr>
        <w:trPr>
          <w:cantSplit/>
        </w:trPr>
        <w:tc>
          <w:tcPr>
            <w:tcW w:type="dxa" w:w="4939"/>
            <w:vAlign w:val="center"/>
            <w:tcMar>
              <w:top w:w="85" w:type="dxa"/>
              <w:start w:w="100" w:type="dxa"/>
              <w:bottom w:w="85" w:type="dxa"/>
              <w:end w:w="100" w:type="dxa"/>
            </w:tcMar>
          </w:tcPr>
          <w:p>
            <w:pPr>
              <w:spacing w:after="40"/>
            </w:pPr>
            <w:r>
              <w:rPr>
                <w:sz w:val="17"/>
              </w:rPr>
              <w:t>src/predict.py</w:t>
            </w:r>
          </w:p>
        </w:tc>
        <w:tc>
          <w:tcPr>
            <w:tcW w:type="dxa" w:w="4939"/>
            <w:vAlign w:val="center"/>
            <w:tcMar>
              <w:top w:w="85" w:type="dxa"/>
              <w:start w:w="100" w:type="dxa"/>
              <w:bottom w:w="85" w:type="dxa"/>
              <w:end w:w="100" w:type="dxa"/>
            </w:tcMar>
          </w:tcPr>
          <w:p>
            <w:pPr>
              <w:spacing w:after="40"/>
            </w:pPr>
            <w:r>
              <w:rPr>
                <w:sz w:val="17"/>
              </w:rPr>
              <w:t>Loads the saved bundle; validates feature names and returns class and probability estimates</w:t>
            </w:r>
          </w:p>
        </w:tc>
      </w:tr>
      <w:tr>
        <w:trPr>
          <w:cantSplit/>
        </w:trPr>
        <w:tc>
          <w:tcPr>
            <w:tcW w:type="dxa" w:w="4939"/>
            <w:vAlign w:val="center"/>
            <w:tcMar>
              <w:top w:w="85" w:type="dxa"/>
              <w:start w:w="100" w:type="dxa"/>
              <w:bottom w:w="85" w:type="dxa"/>
              <w:end w:w="100" w:type="dxa"/>
            </w:tcMar>
          </w:tcPr>
          <w:p>
            <w:pPr>
              <w:spacing w:after="40"/>
            </w:pPr>
            <w:r>
              <w:rPr>
                <w:sz w:val="17"/>
              </w:rPr>
              <w:t>app/main.py</w:t>
            </w:r>
          </w:p>
        </w:tc>
        <w:tc>
          <w:tcPr>
            <w:tcW w:type="dxa" w:w="4939"/>
            <w:vAlign w:val="center"/>
            <w:tcMar>
              <w:top w:w="85" w:type="dxa"/>
              <w:start w:w="100" w:type="dxa"/>
              <w:bottom w:w="85" w:type="dxa"/>
              <w:end w:w="100" w:type="dxa"/>
            </w:tcMar>
          </w:tcPr>
          <w:p>
            <w:pPr>
              <w:spacing w:after="40"/>
            </w:pPr>
            <w:r>
              <w:rPr>
                <w:sz w:val="17"/>
              </w:rPr>
              <w:t>FastAPI endpoints and page routes for data, evaluation and prediction</w:t>
            </w:r>
          </w:p>
        </w:tc>
      </w:tr>
      <w:tr>
        <w:trPr>
          <w:cantSplit/>
        </w:trPr>
        <w:tc>
          <w:tcPr>
            <w:tcW w:type="dxa" w:w="4939"/>
            <w:vAlign w:val="center"/>
            <w:tcMar>
              <w:top w:w="85" w:type="dxa"/>
              <w:start w:w="100" w:type="dxa"/>
              <w:bottom w:w="85" w:type="dxa"/>
              <w:end w:w="100" w:type="dxa"/>
            </w:tcMar>
          </w:tcPr>
          <w:p>
            <w:pPr>
              <w:spacing w:after="40"/>
            </w:pPr>
            <w:r>
              <w:rPr>
                <w:sz w:val="17"/>
              </w:rPr>
              <w:t>config/experiment_config.json</w:t>
            </w:r>
          </w:p>
        </w:tc>
        <w:tc>
          <w:tcPr>
            <w:tcW w:type="dxa" w:w="4939"/>
            <w:vAlign w:val="center"/>
            <w:tcMar>
              <w:top w:w="85" w:type="dxa"/>
              <w:start w:w="100" w:type="dxa"/>
              <w:bottom w:w="85" w:type="dxa"/>
              <w:end w:w="100" w:type="dxa"/>
            </w:tcMar>
          </w:tcPr>
          <w:p>
            <w:pPr>
              <w:spacing w:after="40"/>
            </w:pPr>
            <w:r>
              <w:rPr>
                <w:sz w:val="17"/>
              </w:rPr>
              <w:t>Dataset path, target mapping, split, seed, folds and preferred solver settings</w:t>
            </w:r>
          </w:p>
        </w:tc>
      </w:tr>
      <w:tr>
        <w:trPr>
          <w:cantSplit/>
        </w:trPr>
        <w:tc>
          <w:tcPr>
            <w:tcW w:type="dxa" w:w="4939"/>
            <w:vAlign w:val="center"/>
            <w:tcMar>
              <w:top w:w="85" w:type="dxa"/>
              <w:start w:w="100" w:type="dxa"/>
              <w:bottom w:w="85" w:type="dxa"/>
              <w:end w:w="100" w:type="dxa"/>
            </w:tcMar>
          </w:tcPr>
          <w:p>
            <w:pPr>
              <w:spacing w:after="40"/>
            </w:pPr>
            <w:r>
              <w:rPr>
                <w:sz w:val="17"/>
              </w:rPr>
              <w:t>outputs/</w:t>
            </w:r>
          </w:p>
        </w:tc>
        <w:tc>
          <w:tcPr>
            <w:tcW w:type="dxa" w:w="4939"/>
            <w:vAlign w:val="center"/>
            <w:tcMar>
              <w:top w:w="85" w:type="dxa"/>
              <w:start w:w="100" w:type="dxa"/>
              <w:bottom w:w="85" w:type="dxa"/>
              <w:end w:w="100" w:type="dxa"/>
            </w:tcMar>
          </w:tcPr>
          <w:p>
            <w:pPr>
              <w:spacing w:after="40"/>
            </w:pPr>
            <w:r>
              <w:rPr>
                <w:sz w:val="17"/>
              </w:rPr>
              <w:t>JSON and CSV results, candidate comparison and coefficients</w:t>
            </w:r>
          </w:p>
        </w:tc>
      </w:tr>
      <w:tr>
        <w:trPr>
          <w:cantSplit/>
        </w:trPr>
        <w:tc>
          <w:tcPr>
            <w:tcW w:type="dxa" w:w="4939"/>
            <w:vAlign w:val="center"/>
            <w:tcMar>
              <w:top w:w="85" w:type="dxa"/>
              <w:start w:w="100" w:type="dxa"/>
              <w:bottom w:w="85" w:type="dxa"/>
              <w:end w:w="100" w:type="dxa"/>
            </w:tcMar>
          </w:tcPr>
          <w:p>
            <w:pPr>
              <w:spacing w:after="40"/>
            </w:pPr>
            <w:r>
              <w:rPr>
                <w:sz w:val="17"/>
              </w:rPr>
              <w:t>models/</w:t>
            </w:r>
          </w:p>
        </w:tc>
        <w:tc>
          <w:tcPr>
            <w:tcW w:type="dxa" w:w="4939"/>
            <w:vAlign w:val="center"/>
            <w:tcMar>
              <w:top w:w="85" w:type="dxa"/>
              <w:start w:w="100" w:type="dxa"/>
              <w:bottom w:w="85" w:type="dxa"/>
              <w:end w:w="100" w:type="dxa"/>
            </w:tcMar>
          </w:tcPr>
          <w:p>
            <w:pPr>
              <w:spacing w:after="40"/>
            </w:pPr>
            <w:r>
              <w:rPr>
                <w:sz w:val="17"/>
              </w:rPr>
              <w:t>Serialized model bundle used for prediction</w:t>
            </w:r>
          </w:p>
        </w:tc>
      </w:tr>
    </w:tbl>
    <w:p>
      <w:pPr>
        <w:pStyle w:val="Heading2"/>
      </w:pPr>
      <w:r>
        <w:t>Training outputs</w:t>
      </w:r>
    </w:p>
    <w:p>
      <w:r>
        <w:t>The training routine writes models/lda_pipeline.joblib, outputs/results.json, outputs/results.csv, outputs/lda_comparison.csv and outputs/coefficients.csv. It also creates plots for class distribution, confusion matrix, ROC curve, precision-recall curve and candidate comparison. The saved bundle contains the fitted pipeline, expected feature list and positive-label metadata. Inference checks for missing or unexpected fields before constructing a one-row DataFrame.</w:t>
      </w:r>
    </w:p>
    <w:p>
      <w:pPr>
        <w:pStyle w:val="Heading2"/>
      </w:pPr>
      <w:r>
        <w:t>Prediction service</w:t>
      </w:r>
    </w:p>
    <w:p>
      <w:r>
        <w:t>The FastAPI application presents routes for overview, dataset, methodology, evaluation and prediction. Its dataset API returns schema, missing-value counts, class totals and a preview. A row endpoint can provide feature values; prediction accepts either a row index or a feature record. The model response contains the predicted class and estimated class probabilities. A probability is a score from this fitted model and has not been established as calibrated confidence.</w:t>
      </w:r>
    </w:p>
    <w:p>
      <w:r>
        <w:t>The repository also includes tests for preprocessing, prediction, training and routes. Earlier environment notes report that test collection and training imports were blocked by Windows Application Control rejecting a compiled scikit-learn extension, while the local web pages and dataset API responded successfully. The later generated artifacts show that a training output set exists. This report therefore treats those saved artifacts as available, but does not claim that the current environment has been rerun as part of preparing this document.</w:t>
      </w:r>
    </w:p>
    <w:p>
      <w:pPr>
        <w:pStyle w:val="Heading2"/>
      </w:pPr>
      <w:r>
        <w:t>Reproduction</w:t>
      </w:r>
    </w:p>
    <w:p>
      <w:r>
        <w:t>The README describes a Windows workflow: create and activate a Python virtual environment, install requirements, run python -m src.train, then pytest and uvicorn app.main:app --reload. The local application is intended for demonstration at http://127.0.0.1:8000. Training is explicit; HTTP page loads do not retrain the model.</w:t>
      </w:r>
    </w:p>
    <w:p>
      <w:r>
        <w:br w:type="page"/>
      </w:r>
    </w:p>
    <w:p>
      <w:pPr>
        <w:pStyle w:val="Heading1"/>
      </w:pPr>
      <w:r>
        <w:t>4  Experimental results</w:t>
      </w:r>
    </w:p>
    <w:p>
      <w:r>
        <w:t>The results JSON records a selected SVD model evaluated on 2,211 held-out observations. Phishing is positive throughout. At the selected operating point, the classifier found 866 phishing records and missed 113; it flagged 71 legitimate records as phishing and correctly rejected 1,161 legitimate records.</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83B56"/>
            <w:tcMar>
              <w:top w:w="85" w:type="dxa"/>
              <w:start w:w="100" w:type="dxa"/>
              <w:bottom w:w="85" w:type="dxa"/>
              <w:end w:w="100" w:type="dxa"/>
            </w:tcMar>
          </w:tcPr>
          <w:p>
            <w:r>
              <w:rPr>
                <w:b/>
                <w:color w:val="FFFFFF"/>
                <w:sz w:val="18"/>
              </w:rPr>
              <w:t>Metric</w:t>
            </w:r>
          </w:p>
        </w:tc>
        <w:tc>
          <w:tcPr>
            <w:tcW w:type="dxa" w:w="3293"/>
            <w:shd w:fill="183B56"/>
            <w:tcMar>
              <w:top w:w="85" w:type="dxa"/>
              <w:start w:w="100" w:type="dxa"/>
              <w:bottom w:w="85" w:type="dxa"/>
              <w:end w:w="100" w:type="dxa"/>
            </w:tcMar>
          </w:tcPr>
          <w:p>
            <w:r>
              <w:rPr>
                <w:b/>
                <w:color w:val="FFFFFF"/>
                <w:sz w:val="18"/>
              </w:rPr>
              <w:t>Value</w:t>
            </w:r>
          </w:p>
        </w:tc>
        <w:tc>
          <w:tcPr>
            <w:tcW w:type="dxa" w:w="3293"/>
            <w:shd w:fill="183B56"/>
            <w:tcMar>
              <w:top w:w="85" w:type="dxa"/>
              <w:start w:w="100" w:type="dxa"/>
              <w:bottom w:w="85" w:type="dxa"/>
              <w:end w:w="100" w:type="dxa"/>
            </w:tcMar>
          </w:tcPr>
          <w:p>
            <w:r>
              <w:rPr>
                <w:b/>
                <w:color w:val="FFFFFF"/>
                <w:sz w:val="18"/>
              </w:rPr>
              <w:t>Interpretation</w:t>
            </w:r>
          </w:p>
        </w:tc>
      </w:tr>
      <w:tr>
        <w:trPr>
          <w:cantSplit/>
        </w:trPr>
        <w:tc>
          <w:tcPr>
            <w:tcW w:type="dxa" w:w="3293"/>
            <w:vAlign w:val="center"/>
            <w:tcMar>
              <w:top w:w="85" w:type="dxa"/>
              <w:start w:w="100" w:type="dxa"/>
              <w:bottom w:w="85" w:type="dxa"/>
              <w:end w:w="100" w:type="dxa"/>
            </w:tcMar>
          </w:tcPr>
          <w:p>
            <w:pPr>
              <w:spacing w:after="40"/>
            </w:pPr>
            <w:r>
              <w:rPr>
                <w:sz w:val="17"/>
              </w:rPr>
              <w:t>Accuracy</w:t>
            </w:r>
          </w:p>
        </w:tc>
        <w:tc>
          <w:tcPr>
            <w:tcW w:type="dxa" w:w="3293"/>
            <w:vAlign w:val="center"/>
            <w:tcMar>
              <w:top w:w="85" w:type="dxa"/>
              <w:start w:w="100" w:type="dxa"/>
              <w:bottom w:w="85" w:type="dxa"/>
              <w:end w:w="100" w:type="dxa"/>
            </w:tcMar>
          </w:tcPr>
          <w:p>
            <w:pPr>
              <w:spacing w:after="40"/>
            </w:pPr>
            <w:r>
              <w:rPr>
                <w:sz w:val="17"/>
              </w:rPr>
              <w:t>91.68%</w:t>
            </w:r>
          </w:p>
        </w:tc>
        <w:tc>
          <w:tcPr>
            <w:tcW w:type="dxa" w:w="3293"/>
            <w:vAlign w:val="center"/>
            <w:tcMar>
              <w:top w:w="85" w:type="dxa"/>
              <w:start w:w="100" w:type="dxa"/>
              <w:bottom w:w="85" w:type="dxa"/>
              <w:end w:w="100" w:type="dxa"/>
            </w:tcMar>
          </w:tcPr>
          <w:p>
            <w:pPr>
              <w:spacing w:after="40"/>
            </w:pPr>
            <w:r>
              <w:rPr>
                <w:sz w:val="17"/>
              </w:rPr>
              <w:t>Share of all test predictions correct</w:t>
            </w:r>
          </w:p>
        </w:tc>
      </w:tr>
      <w:tr>
        <w:trPr>
          <w:cantSplit/>
        </w:trPr>
        <w:tc>
          <w:tcPr>
            <w:tcW w:type="dxa" w:w="3293"/>
            <w:vAlign w:val="center"/>
            <w:tcMar>
              <w:top w:w="85" w:type="dxa"/>
              <w:start w:w="100" w:type="dxa"/>
              <w:bottom w:w="85" w:type="dxa"/>
              <w:end w:w="100" w:type="dxa"/>
            </w:tcMar>
          </w:tcPr>
          <w:p>
            <w:pPr>
              <w:spacing w:after="40"/>
            </w:pPr>
            <w:r>
              <w:rPr>
                <w:sz w:val="17"/>
              </w:rPr>
              <w:t>Precision</w:t>
            </w:r>
          </w:p>
        </w:tc>
        <w:tc>
          <w:tcPr>
            <w:tcW w:type="dxa" w:w="3293"/>
            <w:vAlign w:val="center"/>
            <w:tcMar>
              <w:top w:w="85" w:type="dxa"/>
              <w:start w:w="100" w:type="dxa"/>
              <w:bottom w:w="85" w:type="dxa"/>
              <w:end w:w="100" w:type="dxa"/>
            </w:tcMar>
          </w:tcPr>
          <w:p>
            <w:pPr>
              <w:spacing w:after="40"/>
            </w:pPr>
            <w:r>
              <w:rPr>
                <w:sz w:val="17"/>
              </w:rPr>
              <w:t>92.42%</w:t>
            </w:r>
          </w:p>
        </w:tc>
        <w:tc>
          <w:tcPr>
            <w:tcW w:type="dxa" w:w="3293"/>
            <w:vAlign w:val="center"/>
            <w:tcMar>
              <w:top w:w="85" w:type="dxa"/>
              <w:start w:w="100" w:type="dxa"/>
              <w:bottom w:w="85" w:type="dxa"/>
              <w:end w:w="100" w:type="dxa"/>
            </w:tcMar>
          </w:tcPr>
          <w:p>
            <w:pPr>
              <w:spacing w:after="40"/>
            </w:pPr>
            <w:r>
              <w:rPr>
                <w:sz w:val="17"/>
              </w:rPr>
              <w:t>Share of phishing alerts that were phishing</w:t>
            </w:r>
          </w:p>
        </w:tc>
      </w:tr>
      <w:tr>
        <w:trPr>
          <w:cantSplit/>
        </w:trPr>
        <w:tc>
          <w:tcPr>
            <w:tcW w:type="dxa" w:w="3293"/>
            <w:vAlign w:val="center"/>
            <w:tcMar>
              <w:top w:w="85" w:type="dxa"/>
              <w:start w:w="100" w:type="dxa"/>
              <w:bottom w:w="85" w:type="dxa"/>
              <w:end w:w="100" w:type="dxa"/>
            </w:tcMar>
          </w:tcPr>
          <w:p>
            <w:pPr>
              <w:spacing w:after="40"/>
            </w:pPr>
            <w:r>
              <w:rPr>
                <w:sz w:val="17"/>
              </w:rPr>
              <w:t>Recall</w:t>
            </w:r>
          </w:p>
        </w:tc>
        <w:tc>
          <w:tcPr>
            <w:tcW w:type="dxa" w:w="3293"/>
            <w:vAlign w:val="center"/>
            <w:tcMar>
              <w:top w:w="85" w:type="dxa"/>
              <w:start w:w="100" w:type="dxa"/>
              <w:bottom w:w="85" w:type="dxa"/>
              <w:end w:w="100" w:type="dxa"/>
            </w:tcMar>
          </w:tcPr>
          <w:p>
            <w:pPr>
              <w:spacing w:after="40"/>
            </w:pPr>
            <w:r>
              <w:rPr>
                <w:sz w:val="17"/>
              </w:rPr>
              <w:t>88.46%</w:t>
            </w:r>
          </w:p>
        </w:tc>
        <w:tc>
          <w:tcPr>
            <w:tcW w:type="dxa" w:w="3293"/>
            <w:vAlign w:val="center"/>
            <w:tcMar>
              <w:top w:w="85" w:type="dxa"/>
              <w:start w:w="100" w:type="dxa"/>
              <w:bottom w:w="85" w:type="dxa"/>
              <w:end w:w="100" w:type="dxa"/>
            </w:tcMar>
          </w:tcPr>
          <w:p>
            <w:pPr>
              <w:spacing w:after="40"/>
            </w:pPr>
            <w:r>
              <w:rPr>
                <w:sz w:val="17"/>
              </w:rPr>
              <w:t>Share of phishing examples detected</w:t>
            </w:r>
          </w:p>
        </w:tc>
      </w:tr>
      <w:tr>
        <w:trPr>
          <w:cantSplit/>
        </w:trPr>
        <w:tc>
          <w:tcPr>
            <w:tcW w:type="dxa" w:w="3293"/>
            <w:vAlign w:val="center"/>
            <w:tcMar>
              <w:top w:w="85" w:type="dxa"/>
              <w:start w:w="100" w:type="dxa"/>
              <w:bottom w:w="85" w:type="dxa"/>
              <w:end w:w="100" w:type="dxa"/>
            </w:tcMar>
          </w:tcPr>
          <w:p>
            <w:pPr>
              <w:spacing w:after="40"/>
            </w:pPr>
            <w:r>
              <w:rPr>
                <w:sz w:val="17"/>
              </w:rPr>
              <w:t>F1</w:t>
            </w:r>
          </w:p>
        </w:tc>
        <w:tc>
          <w:tcPr>
            <w:tcW w:type="dxa" w:w="3293"/>
            <w:vAlign w:val="center"/>
            <w:tcMar>
              <w:top w:w="85" w:type="dxa"/>
              <w:start w:w="100" w:type="dxa"/>
              <w:bottom w:w="85" w:type="dxa"/>
              <w:end w:w="100" w:type="dxa"/>
            </w:tcMar>
          </w:tcPr>
          <w:p>
            <w:pPr>
              <w:spacing w:after="40"/>
            </w:pPr>
            <w:r>
              <w:rPr>
                <w:sz w:val="17"/>
              </w:rPr>
              <w:t>90.40%</w:t>
            </w:r>
          </w:p>
        </w:tc>
        <w:tc>
          <w:tcPr>
            <w:tcW w:type="dxa" w:w="3293"/>
            <w:vAlign w:val="center"/>
            <w:tcMar>
              <w:top w:w="85" w:type="dxa"/>
              <w:start w:w="100" w:type="dxa"/>
              <w:bottom w:w="85" w:type="dxa"/>
              <w:end w:w="100" w:type="dxa"/>
            </w:tcMar>
          </w:tcPr>
          <w:p>
            <w:pPr>
              <w:spacing w:after="40"/>
            </w:pPr>
            <w:r>
              <w:rPr>
                <w:sz w:val="17"/>
              </w:rPr>
              <w:t>Harmonic mean of phishing precision and recall</w:t>
            </w:r>
          </w:p>
        </w:tc>
      </w:tr>
      <w:tr>
        <w:trPr>
          <w:cantSplit/>
        </w:trPr>
        <w:tc>
          <w:tcPr>
            <w:tcW w:type="dxa" w:w="3293"/>
            <w:vAlign w:val="center"/>
            <w:tcMar>
              <w:top w:w="85" w:type="dxa"/>
              <w:start w:w="100" w:type="dxa"/>
              <w:bottom w:w="85" w:type="dxa"/>
              <w:end w:w="100" w:type="dxa"/>
            </w:tcMar>
          </w:tcPr>
          <w:p>
            <w:pPr>
              <w:spacing w:after="40"/>
            </w:pPr>
            <w:r>
              <w:rPr>
                <w:sz w:val="17"/>
              </w:rPr>
              <w:t>Specificity</w:t>
            </w:r>
          </w:p>
        </w:tc>
        <w:tc>
          <w:tcPr>
            <w:tcW w:type="dxa" w:w="3293"/>
            <w:vAlign w:val="center"/>
            <w:tcMar>
              <w:top w:w="85" w:type="dxa"/>
              <w:start w:w="100" w:type="dxa"/>
              <w:bottom w:w="85" w:type="dxa"/>
              <w:end w:w="100" w:type="dxa"/>
            </w:tcMar>
          </w:tcPr>
          <w:p>
            <w:pPr>
              <w:spacing w:after="40"/>
            </w:pPr>
            <w:r>
              <w:rPr>
                <w:sz w:val="17"/>
              </w:rPr>
              <w:t>94.24%</w:t>
            </w:r>
          </w:p>
        </w:tc>
        <w:tc>
          <w:tcPr>
            <w:tcW w:type="dxa" w:w="3293"/>
            <w:vAlign w:val="center"/>
            <w:tcMar>
              <w:top w:w="85" w:type="dxa"/>
              <w:start w:w="100" w:type="dxa"/>
              <w:bottom w:w="85" w:type="dxa"/>
              <w:end w:w="100" w:type="dxa"/>
            </w:tcMar>
          </w:tcPr>
          <w:p>
            <w:pPr>
              <w:spacing w:after="40"/>
            </w:pPr>
            <w:r>
              <w:rPr>
                <w:sz w:val="17"/>
              </w:rPr>
              <w:t>Share of legitimate examples correctly identified</w:t>
            </w:r>
          </w:p>
        </w:tc>
      </w:tr>
      <w:tr>
        <w:trPr>
          <w:cantSplit/>
        </w:trPr>
        <w:tc>
          <w:tcPr>
            <w:tcW w:type="dxa" w:w="3293"/>
            <w:vAlign w:val="center"/>
            <w:tcMar>
              <w:top w:w="85" w:type="dxa"/>
              <w:start w:w="100" w:type="dxa"/>
              <w:bottom w:w="85" w:type="dxa"/>
              <w:end w:w="100" w:type="dxa"/>
            </w:tcMar>
          </w:tcPr>
          <w:p>
            <w:pPr>
              <w:spacing w:after="40"/>
            </w:pPr>
            <w:r>
              <w:rPr>
                <w:sz w:val="17"/>
              </w:rPr>
              <w:t>ROC AUC</w:t>
            </w:r>
          </w:p>
        </w:tc>
        <w:tc>
          <w:tcPr>
            <w:tcW w:type="dxa" w:w="3293"/>
            <w:vAlign w:val="center"/>
            <w:tcMar>
              <w:top w:w="85" w:type="dxa"/>
              <w:start w:w="100" w:type="dxa"/>
              <w:bottom w:w="85" w:type="dxa"/>
              <w:end w:w="100" w:type="dxa"/>
            </w:tcMar>
          </w:tcPr>
          <w:p>
            <w:pPr>
              <w:spacing w:after="40"/>
            </w:pPr>
            <w:r>
              <w:rPr>
                <w:sz w:val="17"/>
              </w:rPr>
              <w:t>0.9738</w:t>
            </w:r>
          </w:p>
        </w:tc>
        <w:tc>
          <w:tcPr>
            <w:tcW w:type="dxa" w:w="3293"/>
            <w:vAlign w:val="center"/>
            <w:tcMar>
              <w:top w:w="85" w:type="dxa"/>
              <w:start w:w="100" w:type="dxa"/>
              <w:bottom w:w="85" w:type="dxa"/>
              <w:end w:w="100" w:type="dxa"/>
            </w:tcMar>
          </w:tcPr>
          <w:p>
            <w:pPr>
              <w:spacing w:after="40"/>
            </w:pPr>
            <w:r>
              <w:rPr>
                <w:sz w:val="17"/>
              </w:rPr>
              <w:t>Ranking discrimination across thresholds</w:t>
            </w:r>
          </w:p>
        </w:tc>
      </w:tr>
      <w:tr>
        <w:trPr>
          <w:cantSplit/>
        </w:trPr>
        <w:tc>
          <w:tcPr>
            <w:tcW w:type="dxa" w:w="3293"/>
            <w:vAlign w:val="center"/>
            <w:tcMar>
              <w:top w:w="85" w:type="dxa"/>
              <w:start w:w="100" w:type="dxa"/>
              <w:bottom w:w="85" w:type="dxa"/>
              <w:end w:w="100" w:type="dxa"/>
            </w:tcMar>
          </w:tcPr>
          <w:p>
            <w:pPr>
              <w:spacing w:after="40"/>
            </w:pPr>
            <w:r>
              <w:rPr>
                <w:sz w:val="17"/>
              </w:rPr>
              <w:t>PR AUC (average precision)</w:t>
            </w:r>
          </w:p>
        </w:tc>
        <w:tc>
          <w:tcPr>
            <w:tcW w:type="dxa" w:w="3293"/>
            <w:vAlign w:val="center"/>
            <w:tcMar>
              <w:top w:w="85" w:type="dxa"/>
              <w:start w:w="100" w:type="dxa"/>
              <w:bottom w:w="85" w:type="dxa"/>
              <w:end w:w="100" w:type="dxa"/>
            </w:tcMar>
          </w:tcPr>
          <w:p>
            <w:pPr>
              <w:spacing w:after="40"/>
            </w:pPr>
            <w:r>
              <w:rPr>
                <w:sz w:val="17"/>
              </w:rPr>
              <w:t>0.9694</w:t>
            </w:r>
          </w:p>
        </w:tc>
        <w:tc>
          <w:tcPr>
            <w:tcW w:type="dxa" w:w="3293"/>
            <w:vAlign w:val="center"/>
            <w:tcMar>
              <w:top w:w="85" w:type="dxa"/>
              <w:start w:w="100" w:type="dxa"/>
              <w:bottom w:w="85" w:type="dxa"/>
              <w:end w:w="100" w:type="dxa"/>
            </w:tcMar>
          </w:tcPr>
          <w:p>
            <w:pPr>
              <w:spacing w:after="40"/>
            </w:pPr>
            <w:r>
              <w:rPr>
                <w:sz w:val="17"/>
              </w:rPr>
              <w:t>Precision-recall summary for phishing positive</w:t>
            </w:r>
          </w:p>
        </w:tc>
      </w:tr>
    </w:tbl>
    <w:p>
      <w:pPr>
        <w:pStyle w:val="Heading2"/>
      </w:pPr>
      <w:r>
        <w:t>Confusion matrix</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83B56"/>
            <w:tcMar>
              <w:top w:w="85" w:type="dxa"/>
              <w:start w:w="100" w:type="dxa"/>
              <w:bottom w:w="85" w:type="dxa"/>
              <w:end w:w="100" w:type="dxa"/>
            </w:tcMar>
          </w:tcPr>
          <w:p>
            <w:r>
              <w:rPr>
                <w:b/>
                <w:color w:val="FFFFFF"/>
                <w:sz w:val="18"/>
              </w:rPr>
              <w:t>Actual class</w:t>
            </w:r>
          </w:p>
        </w:tc>
        <w:tc>
          <w:tcPr>
            <w:tcW w:type="dxa" w:w="3293"/>
            <w:shd w:fill="183B56"/>
            <w:tcMar>
              <w:top w:w="85" w:type="dxa"/>
              <w:start w:w="100" w:type="dxa"/>
              <w:bottom w:w="85" w:type="dxa"/>
              <w:end w:w="100" w:type="dxa"/>
            </w:tcMar>
          </w:tcPr>
          <w:p>
            <w:r>
              <w:rPr>
                <w:b/>
                <w:color w:val="FFFFFF"/>
                <w:sz w:val="18"/>
              </w:rPr>
              <w:t>Predicted legitimate</w:t>
            </w:r>
          </w:p>
        </w:tc>
        <w:tc>
          <w:tcPr>
            <w:tcW w:type="dxa" w:w="3293"/>
            <w:shd w:fill="183B56"/>
            <w:tcMar>
              <w:top w:w="85" w:type="dxa"/>
              <w:start w:w="100" w:type="dxa"/>
              <w:bottom w:w="85" w:type="dxa"/>
              <w:end w:w="100" w:type="dxa"/>
            </w:tcMar>
          </w:tcPr>
          <w:p>
            <w:r>
              <w:rPr>
                <w:b/>
                <w:color w:val="FFFFFF"/>
                <w:sz w:val="18"/>
              </w:rPr>
              <w:t>Predicted phishing</w:t>
            </w:r>
          </w:p>
        </w:tc>
      </w:tr>
      <w:tr>
        <w:trPr>
          <w:cantSplit/>
        </w:trPr>
        <w:tc>
          <w:tcPr>
            <w:tcW w:type="dxa" w:w="3293"/>
            <w:vAlign w:val="center"/>
            <w:tcMar>
              <w:top w:w="85" w:type="dxa"/>
              <w:start w:w="100" w:type="dxa"/>
              <w:bottom w:w="85" w:type="dxa"/>
              <w:end w:w="100" w:type="dxa"/>
            </w:tcMar>
          </w:tcPr>
          <w:p>
            <w:pPr>
              <w:spacing w:after="40"/>
            </w:pPr>
            <w:r>
              <w:rPr>
                <w:sz w:val="17"/>
              </w:rPr>
              <w:t>Legitimate</w:t>
            </w:r>
          </w:p>
        </w:tc>
        <w:tc>
          <w:tcPr>
            <w:tcW w:type="dxa" w:w="3293"/>
            <w:vAlign w:val="center"/>
            <w:tcMar>
              <w:top w:w="85" w:type="dxa"/>
              <w:start w:w="100" w:type="dxa"/>
              <w:bottom w:w="85" w:type="dxa"/>
              <w:end w:w="100" w:type="dxa"/>
            </w:tcMar>
          </w:tcPr>
          <w:p>
            <w:pPr>
              <w:spacing w:after="40"/>
            </w:pPr>
            <w:r>
              <w:rPr>
                <w:sz w:val="17"/>
              </w:rPr>
              <w:t>1,161 (TN)</w:t>
            </w:r>
          </w:p>
        </w:tc>
        <w:tc>
          <w:tcPr>
            <w:tcW w:type="dxa" w:w="3293"/>
            <w:vAlign w:val="center"/>
            <w:tcMar>
              <w:top w:w="85" w:type="dxa"/>
              <w:start w:w="100" w:type="dxa"/>
              <w:bottom w:w="85" w:type="dxa"/>
              <w:end w:w="100" w:type="dxa"/>
            </w:tcMar>
          </w:tcPr>
          <w:p>
            <w:pPr>
              <w:spacing w:after="40"/>
            </w:pPr>
            <w:r>
              <w:rPr>
                <w:sz w:val="17"/>
              </w:rPr>
              <w:t>71 (FP)</w:t>
            </w:r>
          </w:p>
        </w:tc>
      </w:tr>
      <w:tr>
        <w:trPr>
          <w:cantSplit/>
        </w:trPr>
        <w:tc>
          <w:tcPr>
            <w:tcW w:type="dxa" w:w="3293"/>
            <w:vAlign w:val="center"/>
            <w:tcMar>
              <w:top w:w="85" w:type="dxa"/>
              <w:start w:w="100" w:type="dxa"/>
              <w:bottom w:w="85" w:type="dxa"/>
              <w:end w:w="100" w:type="dxa"/>
            </w:tcMar>
          </w:tcPr>
          <w:p>
            <w:pPr>
              <w:spacing w:after="40"/>
            </w:pPr>
            <w:r>
              <w:rPr>
                <w:sz w:val="17"/>
              </w:rPr>
              <w:t>Phishing</w:t>
            </w:r>
          </w:p>
        </w:tc>
        <w:tc>
          <w:tcPr>
            <w:tcW w:type="dxa" w:w="3293"/>
            <w:vAlign w:val="center"/>
            <w:tcMar>
              <w:top w:w="85" w:type="dxa"/>
              <w:start w:w="100" w:type="dxa"/>
              <w:bottom w:w="85" w:type="dxa"/>
              <w:end w:w="100" w:type="dxa"/>
            </w:tcMar>
          </w:tcPr>
          <w:p>
            <w:pPr>
              <w:spacing w:after="40"/>
            </w:pPr>
            <w:r>
              <w:rPr>
                <w:sz w:val="17"/>
              </w:rPr>
              <w:t>113 (FN)</w:t>
            </w:r>
          </w:p>
        </w:tc>
        <w:tc>
          <w:tcPr>
            <w:tcW w:type="dxa" w:w="3293"/>
            <w:vAlign w:val="center"/>
            <w:tcMar>
              <w:top w:w="85" w:type="dxa"/>
              <w:start w:w="100" w:type="dxa"/>
              <w:bottom w:w="85" w:type="dxa"/>
              <w:end w:w="100" w:type="dxa"/>
            </w:tcMar>
          </w:tcPr>
          <w:p>
            <w:pPr>
              <w:spacing w:after="40"/>
            </w:pPr>
            <w:r>
              <w:rPr>
                <w:sz w:val="17"/>
              </w:rPr>
              <w:t>866 (TP)</w:t>
            </w:r>
          </w:p>
        </w:tc>
      </w:tr>
    </w:tbl>
    <w:p>
      <w:r>
        <w:t>The 113 false negatives are the missed phishing cases on this split. Whether the operating point is acceptable depends on the cost assigned to missed sites versus false alerts. The reported classifier uses its standard decision rule; the project does not tune a deployment threshold or report threshold-specific cost curves. ROC and precision-recall areas summarize ranking behavior but do not choose an operational threshold.</w:t>
      </w:r>
    </w:p>
    <w:p>
      <w:pPr>
        <w:pStyle w:val="Heading2"/>
      </w:pPr>
      <w:r>
        <w:t>Cross-validation comparison</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83B56"/>
            <w:tcMar>
              <w:top w:w="85" w:type="dxa"/>
              <w:start w:w="100" w:type="dxa"/>
              <w:bottom w:w="85" w:type="dxa"/>
              <w:end w:w="100" w:type="dxa"/>
            </w:tcMar>
          </w:tcPr>
          <w:p>
            <w:r>
              <w:rPr>
                <w:b/>
                <w:color w:val="FFFFFF"/>
                <w:sz w:val="18"/>
              </w:rPr>
              <w:t>Candidate</w:t>
            </w:r>
          </w:p>
        </w:tc>
        <w:tc>
          <w:tcPr>
            <w:tcW w:type="dxa" w:w="3293"/>
            <w:shd w:fill="183B56"/>
            <w:tcMar>
              <w:top w:w="85" w:type="dxa"/>
              <w:start w:w="100" w:type="dxa"/>
              <w:bottom w:w="85" w:type="dxa"/>
              <w:end w:w="100" w:type="dxa"/>
            </w:tcMar>
          </w:tcPr>
          <w:p>
            <w:r>
              <w:rPr>
                <w:b/>
                <w:color w:val="FFFFFF"/>
                <w:sz w:val="18"/>
              </w:rPr>
              <w:t>Mean training CV F1</w:t>
            </w:r>
          </w:p>
        </w:tc>
        <w:tc>
          <w:tcPr>
            <w:tcW w:type="dxa" w:w="3293"/>
            <w:shd w:fill="183B56"/>
            <w:tcMar>
              <w:top w:w="85" w:type="dxa"/>
              <w:start w:w="100" w:type="dxa"/>
              <w:bottom w:w="85" w:type="dxa"/>
              <w:end w:w="100" w:type="dxa"/>
            </w:tcMar>
          </w:tcPr>
          <w:p>
            <w:r>
              <w:rPr>
                <w:b/>
                <w:color w:val="FFFFFF"/>
                <w:sz w:val="18"/>
              </w:rPr>
              <w:t>Fold standard deviation</w:t>
            </w:r>
          </w:p>
        </w:tc>
      </w:tr>
      <w:tr>
        <w:trPr>
          <w:cantSplit/>
        </w:trPr>
        <w:tc>
          <w:tcPr>
            <w:tcW w:type="dxa" w:w="3293"/>
            <w:vAlign w:val="center"/>
            <w:tcMar>
              <w:top w:w="85" w:type="dxa"/>
              <w:start w:w="100" w:type="dxa"/>
              <w:bottom w:w="85" w:type="dxa"/>
              <w:end w:w="100" w:type="dxa"/>
            </w:tcMar>
          </w:tcPr>
          <w:p>
            <w:pPr>
              <w:spacing w:after="40"/>
            </w:pPr>
            <w:r>
              <w:rPr>
                <w:sz w:val="17"/>
              </w:rPr>
              <w:t>SVD</w:t>
            </w:r>
          </w:p>
        </w:tc>
        <w:tc>
          <w:tcPr>
            <w:tcW w:type="dxa" w:w="3293"/>
            <w:vAlign w:val="center"/>
            <w:tcMar>
              <w:top w:w="85" w:type="dxa"/>
              <w:start w:w="100" w:type="dxa"/>
              <w:bottom w:w="85" w:type="dxa"/>
              <w:end w:w="100" w:type="dxa"/>
            </w:tcMar>
          </w:tcPr>
          <w:p>
            <w:pPr>
              <w:spacing w:after="40"/>
            </w:pPr>
            <w:r>
              <w:rPr>
                <w:sz w:val="17"/>
              </w:rPr>
              <w:t>0.90988</w:t>
            </w:r>
          </w:p>
        </w:tc>
        <w:tc>
          <w:tcPr>
            <w:tcW w:type="dxa" w:w="3293"/>
            <w:vAlign w:val="center"/>
            <w:tcMar>
              <w:top w:w="85" w:type="dxa"/>
              <w:start w:w="100" w:type="dxa"/>
              <w:bottom w:w="85" w:type="dxa"/>
              <w:end w:w="100" w:type="dxa"/>
            </w:tcMar>
          </w:tcPr>
          <w:p>
            <w:pPr>
              <w:spacing w:after="40"/>
            </w:pPr>
            <w:r>
              <w:rPr>
                <w:sz w:val="17"/>
              </w:rPr>
              <w:t>0.00508</w:t>
            </w:r>
          </w:p>
        </w:tc>
      </w:tr>
      <w:tr>
        <w:trPr>
          <w:cantSplit/>
        </w:trPr>
        <w:tc>
          <w:tcPr>
            <w:tcW w:type="dxa" w:w="3293"/>
            <w:vAlign w:val="center"/>
            <w:tcMar>
              <w:top w:w="85" w:type="dxa"/>
              <w:start w:w="100" w:type="dxa"/>
              <w:bottom w:w="85" w:type="dxa"/>
              <w:end w:w="100" w:type="dxa"/>
            </w:tcMar>
          </w:tcPr>
          <w:p>
            <w:pPr>
              <w:spacing w:after="40"/>
            </w:pPr>
            <w:r>
              <w:rPr>
                <w:sz w:val="17"/>
              </w:rPr>
              <w:t>LSQR with automatic shrinkage</w:t>
            </w:r>
          </w:p>
        </w:tc>
        <w:tc>
          <w:tcPr>
            <w:tcW w:type="dxa" w:w="3293"/>
            <w:vAlign w:val="center"/>
            <w:tcMar>
              <w:top w:w="85" w:type="dxa"/>
              <w:start w:w="100" w:type="dxa"/>
              <w:bottom w:w="85" w:type="dxa"/>
              <w:end w:w="100" w:type="dxa"/>
            </w:tcMar>
          </w:tcPr>
          <w:p>
            <w:pPr>
              <w:spacing w:after="40"/>
            </w:pPr>
            <w:r>
              <w:rPr>
                <w:sz w:val="17"/>
              </w:rPr>
              <w:t>0.90976</w:t>
            </w:r>
          </w:p>
        </w:tc>
        <w:tc>
          <w:tcPr>
            <w:tcW w:type="dxa" w:w="3293"/>
            <w:vAlign w:val="center"/>
            <w:tcMar>
              <w:top w:w="85" w:type="dxa"/>
              <w:start w:w="100" w:type="dxa"/>
              <w:bottom w:w="85" w:type="dxa"/>
              <w:end w:w="100" w:type="dxa"/>
            </w:tcMar>
          </w:tcPr>
          <w:p>
            <w:pPr>
              <w:spacing w:after="40"/>
            </w:pPr>
            <w:r>
              <w:rPr>
                <w:sz w:val="17"/>
              </w:rPr>
              <w:t>0.00524</w:t>
            </w:r>
          </w:p>
        </w:tc>
      </w:tr>
    </w:tbl>
    <w:p>
      <w:r>
        <w:t>SVD was selected because its mean CV F1 was slightly higher, by about 0.00012. The difference is very small relative to fold-to-fold variation, so it should not be interpreted as clear evidence that SVD is generally superior. The held-out test results correspond to the selected SVD pipeline and must not be attributed to both candidates.</w:t>
      </w:r>
    </w:p>
    <w:p>
      <w:pPr>
        <w:pStyle w:val="Heading2"/>
      </w:pPr>
      <w:r>
        <w:t>Runtime measurements</w:t>
      </w:r>
    </w:p>
    <w:p>
      <w:r>
        <w:t>The output records 0.0326 seconds for fitting and 0.0060 seconds for the combined batch prediction and probability call on 2,211 test samples. Its derived mean is approximately 0.0027 milliseconds per sample, with reported batch throughput near 370,961 samples per second. These are single local measurements without verified hardware metadata or repeated timing analysis. They are not a service-level performance guarantee.</w:t>
      </w:r>
    </w:p>
    <w:p>
      <w:r>
        <w:br w:type="page"/>
      </w:r>
    </w:p>
    <w:p>
      <w:pPr>
        <w:pStyle w:val="Heading1"/>
      </w:pPr>
      <w:r>
        <w:t>5  Demonstration and user workflow</w:t>
      </w:r>
    </w:p>
    <w:p>
      <w:r>
        <w:t>The interface is a localhost teaching and inspection tool for the saved experiment. It links the data view to the method, reports the evaluation artifacts, and supports predictions from dataset rows or supplied feature values. It is not a live website inspection service; users must provide the structured feature vector that the model expects.</w:t>
      </w:r>
    </w:p>
    <w:p>
      <w:pPr>
        <w:pStyle w:val="Heading2"/>
      </w:pPr>
      <w:r>
        <w:t>Suggested demonstration</w:t>
      </w:r>
    </w:p>
    <w:p>
      <w:pPr>
        <w:pStyle w:val="ListBullet"/>
        <w:spacing w:after="60"/>
      </w:pPr>
      <w:r>
        <w:t>Start the app with uvicorn app.main:app --reload and open the local address.</w:t>
      </w:r>
    </w:p>
    <w:p>
      <w:pPr>
        <w:pStyle w:val="ListBullet"/>
        <w:spacing w:after="60"/>
      </w:pPr>
      <w:r>
        <w:t>Use the overview page to frame the task as classification over precomputed indicators.</w:t>
      </w:r>
    </w:p>
    <w:p>
      <w:pPr>
        <w:pStyle w:val="ListBullet"/>
        <w:spacing w:after="60"/>
      </w:pPr>
      <w:r>
        <w:t>Open Dataset to show the label counts, 30 predictors, missingness audit and removal of Index.</w:t>
      </w:r>
    </w:p>
    <w:p>
      <w:pPr>
        <w:pStyle w:val="ListBullet"/>
        <w:spacing w:after="60"/>
      </w:pPr>
      <w:r>
        <w:t>Open Methodology to explain the shared-covariance model, preprocessing pipeline and training-only CV selection.</w:t>
      </w:r>
    </w:p>
    <w:p>
      <w:pPr>
        <w:pStyle w:val="ListBullet"/>
        <w:spacing w:after="60"/>
      </w:pPr>
      <w:r>
        <w:t>Open Evaluation to review test metrics and the confusion matrix, emphasizing false negatives and false positives.</w:t>
      </w:r>
    </w:p>
    <w:p>
      <w:pPr>
        <w:pStyle w:val="ListBullet"/>
        <w:spacing w:after="60"/>
      </w:pPr>
      <w:r>
        <w:t>Use prediction with a dataset row, then explain that the displayed probabilities are model estimates.</w:t>
      </w:r>
    </w:p>
    <w:p>
      <w:pPr>
        <w:pStyle w:val="ListBullet"/>
        <w:spacing w:after="60"/>
      </w:pPr>
      <w:r>
        <w:t>Close with the limits of the benchmark and what evidence would be needed before deployment.</w:t>
      </w:r>
    </w:p>
    <w:p>
      <w:pPr>
        <w:pStyle w:val="Heading2"/>
      </w:pPr>
      <w:r>
        <w:t>What the demonstration makes visible</w:t>
      </w:r>
    </w:p>
    <w:p>
      <w:r>
        <w:t>The interface can make the experiment easier to inspect than a command-line-only workflow. The dataset page helps explain the model’s input contract. The methodology page supports a concise discussion of why a linear boundary is used. The evaluation page connects aggregate metrics to individual error counts. The prediction page shows how the saved model bundle can be consumed by an API.</w:t>
      </w:r>
    </w:p>
    <w:p>
      <w:r>
        <w:t>For a classroom or project review, the key teaching point is the relationship between measurement and claim. A high ROC AUC indicates strong ranking on this held-out split, while recall below 90% shows that some positive cases were missed at the default rule. A static benchmark result is useful for a baseline; it is not enough to establish resilience to new campaigns or changing feature distributions.</w:t>
      </w:r>
    </w:p>
    <w:p>
      <w:pPr>
        <w:pStyle w:val="Heading2"/>
      </w:pPr>
      <w:r>
        <w:t>Operational care</w:t>
      </w:r>
    </w:p>
    <w:p>
      <w:r>
        <w:t>The README and code use a local server command, and the app’s prediction route returns HTTP errors when required artifacts or fields are unavailable. Feature names must match the trained schema. Replacing the CSV or changing feature extraction requires retraining and checking the bundle and UI together. Because no authentication, rate limiting, monitoring, or deployment security review is described here, the app should be regarded as a local demonstration and not exposed as a public prediction service without further engineering.</w:t>
      </w:r>
    </w:p>
    <w:p>
      <w:r>
        <w:t>A practical presentation should distinguish the local interface check from model verification. The recorded notes state that selected page and data routes returned HTTP 200 in the inspected environment. The training artifacts are a separate record. No new endpoint checks were run while producing this report.</w:t>
      </w:r>
    </w:p>
    <w:p>
      <w:r>
        <w:br w:type="page"/>
      </w:r>
    </w:p>
    <w:p>
      <w:pPr>
        <w:pStyle w:val="Heading1"/>
      </w:pPr>
      <w:r>
        <w:t>6  Limitations and interpretation</w:t>
      </w:r>
    </w:p>
    <w:p>
      <w:pPr>
        <w:pStyle w:val="Heading2"/>
      </w:pPr>
      <w:r>
        <w:t>Evidence limits</w:t>
      </w:r>
    </w:p>
    <w:p>
      <w:r>
        <w:t>The evaluation is based on a single random stratified split from one dataset snapshot. It does not test temporal generalization, performance on unseen domains, robustness to adversarial changes, or changes in upstream feature extraction. Since the dataset includes no URL, domain, or group identifier, the experiment cannot use entity-grouped validation. Exact duplicate rows were absent, but related records may still share patterns.</w:t>
      </w:r>
    </w:p>
    <w:p>
      <w:r>
        <w:t>Some indicators are described as domain, page, rank, or external reputation properties. If such values were computed using information unavailable at prediction time, or if they are strongly tied to the dataset collection period, the benchmark may overstate what a live system could achieve. The project does not audit the provenance or freshness of every feature. Nor does it establish that the labels are error-free.</w:t>
      </w:r>
    </w:p>
    <w:p>
      <w:pPr>
        <w:pStyle w:val="Heading2"/>
      </w:pPr>
      <w:r>
        <w:t>Model limits</w:t>
      </w:r>
    </w:p>
    <w:p>
      <w:r>
        <w:t>LDA’s shared Gaussian covariance model is a simplifying assumption. It yields an interpretable linear score but may miss nonlinear relationships. Correlated predictors are permitted, though ill-conditioned estimates can be challenging; shrinkage is one candidate approach. Standardization changes feature scale but does not remove redundancy. Coefficients are descriptive model weights, not causal effects or stable measures of real-world importance.</w:t>
      </w:r>
    </w:p>
    <w:p>
      <w:r>
        <w:t>The project reports ROC AUC and average precision but does not report calibration diagnostics, confidence intervals, repeated seeds, subgroup performance, or a threshold chosen against explicit costs. The comparison of SVD and LSQR is close in CV F1. Results should be treated as baseline evidence and not as a statistically conclusive model ranking.</w:t>
      </w:r>
    </w:p>
    <w:p>
      <w:pPr>
        <w:pStyle w:val="Heading2"/>
      </w:pPr>
      <w:r>
        <w:t>Documentation and reproducibility gaps</w:t>
      </w:r>
    </w:p>
    <w:p>
      <w:r>
        <w:t>Two current report notes conflict with the saved artifacts and source. reports/results.md says training did not start and no results exist, but outputs/results.json and the saved joblib model are present. reports/experimental_setup.md similarly records a prior extension-blocking environment and says no model was generated. That may describe an earlier attempt; the timestamps indicate artifacts were written on 11 October 2026. This report uses the artifact contents but does not infer which run or environment produced them beyond what results.json records.</w:t>
      </w:r>
    </w:p>
    <w:p>
      <w:r>
        <w:t>The setup note also says median imputation is in the pipeline, while src/preprocessing.py currently standardizes numeric data and performs no imputation. Since the audited dataset has zero missing values, no imputation was required for the recorded dataset, but the note should be aligned with source. A report refresh and a reproducible rerun in a supported environment would resolve this mismatch. The runtime environment in results.json is Python 3.14.2 and scikit-learn 1.9.1 on Windows 11.</w:t>
      </w:r>
    </w:p>
    <w:p>
      <w:pPr>
        <w:pStyle w:val="Heading2"/>
      </w:pPr>
      <w:r>
        <w:t>Deployment boundary</w:t>
      </w:r>
    </w:p>
    <w:p>
      <w:r>
        <w:t>Before any deployment claim, evaluation should use newer data, a time-based holdout, entity-aware splitting when domains are available, and a feature pipeline that matches live inputs. Threshold and calibration choices should reflect the costs of missed phishing and false alerts. Ongoing monitoring would be needed to detect changing distributions and label feedback.</w:t>
      </w:r>
    </w:p>
    <w:p>
      <w:r>
        <w:br w:type="page"/>
      </w:r>
    </w:p>
    <w:p>
      <w:pPr>
        <w:pStyle w:val="Heading1"/>
      </w:pPr>
      <w:r>
        <w:t>7  Conclusions and next steps</w:t>
      </w:r>
    </w:p>
    <w:p>
      <w:r>
        <w:t>The completed work provides a compact, reproducible LDA baseline for classifying the supplied phishing website feature table. It audits the dataset, excludes a sequential identifier, defines phishing as positive, compares two LDA solver configurations with training-only cross-validation, evaluates the selected pipeline on a stratified holdout, persists artifacts and serves predictions through a local FastAPI interface.</w:t>
      </w:r>
    </w:p>
    <w:p>
      <w:r>
        <w:t>The saved evaluation reports 91.68% accuracy, 90.40% F1, 88.46% phishing recall and 0.9738 ROC AUC on 2,211 test samples. Its confusion matrix shows 113 missed phishing examples and 71 false alerts. These results support the model as a useful educational and experimental baseline on this dataset. They do not show performance on a current stream of unseen websites.</w:t>
      </w:r>
    </w:p>
    <w:p>
      <w:pPr>
        <w:pStyle w:val="Heading2"/>
      </w:pPr>
      <w:r>
        <w:t>Recommended project follow-through</w:t>
      </w:r>
    </w:p>
    <w:p>
      <w:pPr>
        <w:pStyle w:val="ListBullet"/>
        <w:spacing w:after="60"/>
      </w:pPr>
      <w:r>
        <w:t>Synchronize reports/results.md and reports/experimental_setup.md with the existing JSON, model artifact and current preprocessing implementation. Preserve the earlier environment failure only as dated run history if it remains useful.</w:t>
      </w:r>
    </w:p>
    <w:p>
      <w:pPr>
        <w:pStyle w:val="ListBullet"/>
        <w:spacing w:after="60"/>
      </w:pPr>
      <w:r>
        <w:t>Rerun training and the test suite in a compatible, documented environment; retain a clear run timestamp and dependency versions with the outputs.</w:t>
      </w:r>
    </w:p>
    <w:p>
      <w:pPr>
        <w:pStyle w:val="ListBullet"/>
        <w:spacing w:after="60"/>
      </w:pPr>
      <w:r>
        <w:t>Add evaluation on a newer time-based dataset and, when identifiers are available, split by domain or entity to test generalization.</w:t>
      </w:r>
    </w:p>
    <w:p>
      <w:pPr>
        <w:pStyle w:val="ListBullet"/>
        <w:spacing w:after="60"/>
      </w:pPr>
      <w:r>
        <w:t>Study threshold selection, calibration and confidence intervals, with explicit costs for missed phishing and false positives.</w:t>
      </w:r>
    </w:p>
    <w:p>
      <w:pPr>
        <w:pStyle w:val="ListBullet"/>
        <w:spacing w:after="60"/>
      </w:pPr>
      <w:r>
        <w:t>Document feature definitions, provenance, extraction timing and whether each feature would exist at the intended decision point.</w:t>
      </w:r>
    </w:p>
    <w:p>
      <w:pPr>
        <w:pStyle w:val="ListBullet"/>
        <w:spacing w:after="60"/>
      </w:pPr>
      <w:r>
        <w:t>Keep the web app local for demonstration until input validation, security, monitoring and deployment requirements are addressed.</w:t>
      </w:r>
    </w:p>
    <w:p>
      <w:pPr>
        <w:pStyle w:val="Heading2"/>
      </w:pPr>
      <w:r>
        <w:t>Sources and project records</w:t>
      </w:r>
    </w:p>
    <w:p>
      <w:r>
        <w:t>Primary implementation and experiment evidence: README.md; config/experiment_config.json; src/data_loader.py; src/preprocessing.py; src/train.py; src/predict.py; app/main.py; reports/dataset_profile.md; reports/experimental_setup.md; outputs/results.json; outputs/lda_comparison.csv. The report’s numeric metrics were transcribed from outputs/results.json.</w:t>
      </w:r>
    </w:p>
    <w:p>
      <w:r>
        <w:t>Related work recorded in reports/literature_review.md: Hannousse and Yahiouche, “Phishing website prediction using base and ensemble classifier techniques with cross-validation,” Cybersecurity 5, article 19 (2022), DOI 10.1186/s42400-022-00126-9; Hannousse and Yahiouche, “Phishing or Not Phishing? A Survey on the Detection of Phishing Websites,” IEEE Access 11 (2023), DOI 10.1109/ACCESS.2023.3247135; Abu Al-Haija and Al Badawi, “URL-based Phishing Websites Detection via Machine Learning,” ICDABI (2021), DOI 10.1109/ICDABI53623.2021.9655851. The first study evaluates LDA; the other two provide field context and are not LDA-specific results. Their reported scores are not directly comparable to this experiment because datasets and protocols differ.</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1"/>
        <w:sz w:val="16"/>
      </w:rPr>
      <w:t xml:space="preserve">Project work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color w:val="5A6671"/>
        <w:sz w:val="16"/>
      </w:rPr>
      <w:t>PHISHING WEBSITE CLASSIFICATION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