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jc w:val="center"/>
      </w:pPr>
      <w:r>
        <w:t>Lesson 1: Exploring the Psychology of Reading Minds</w:t>
      </w:r>
    </w:p>
    <w:p>
      <w:pPr>
        <w:pStyle w:val="Heading2"/>
        <w:spacing w:after="240"/>
      </w:pPr>
      <w:r>
        <w:t>Subtopic 2: Personal Experience and Cultural Differences</w:t>
      </w:r>
    </w:p>
    <w:tbl>
      <w:tblPr>
        <w:tblStyle w:val="TableGrid"/>
        <w:tblW w:type="auto" w:w="0"/>
        <w:jc w:val="center"/>
        <w:tblLook w:firstColumn="1" w:firstRow="1" w:lastColumn="0" w:lastRow="0" w:noHBand="0" w:noVBand="1" w:val="04A0"/>
      </w:tblPr>
      <w:tblGrid>
        <w:gridCol w:w="4680"/>
        <w:gridCol w:w="4680"/>
      </w:tblGrid>
      <w:tr>
        <w:tc>
          <w:tcPr>
            <w:tcW w:type="dxa" w:w="2551"/>
          </w:tcPr>
          <w:p>
            <w:r>
              <w:t>Lesson</w:t>
            </w:r>
          </w:p>
        </w:tc>
        <w:tc>
          <w:tcPr>
            <w:tcW w:type="dxa" w:w="7087"/>
          </w:tcPr>
          <w:p>
            <w:r>
              <w:t>1: Exploring the Psychology of Reading Minds</w:t>
            </w:r>
          </w:p>
        </w:tc>
      </w:tr>
      <w:tr>
        <w:tc>
          <w:tcPr>
            <w:tcW w:type="dxa" w:w="2551"/>
          </w:tcPr>
          <w:p>
            <w:r>
              <w:t>Subtopic</w:t>
            </w:r>
          </w:p>
        </w:tc>
        <w:tc>
          <w:tcPr>
            <w:tcW w:type="dxa" w:w="7087"/>
          </w:tcPr>
          <w:p>
            <w:r>
              <w:t>2: Personal Experience and Cultural Differences</w:t>
            </w:r>
          </w:p>
        </w:tc>
      </w:tr>
      <w:tr>
        <w:tc>
          <w:tcPr>
            <w:tcW w:type="dxa" w:w="2551"/>
          </w:tcPr>
          <w:p>
            <w:r>
              <w:t>Course Outcome (CO)</w:t>
            </w:r>
          </w:p>
        </w:tc>
        <w:tc>
          <w:tcPr>
            <w:tcW w:type="dxa" w:w="7087"/>
          </w:tcPr>
          <w:p>
            <w:r>
              <w:t>Define and understand the concept of mind reading</w:t>
            </w:r>
          </w:p>
        </w:tc>
      </w:tr>
      <w:tr>
        <w:tc>
          <w:tcPr>
            <w:tcW w:type="dxa" w:w="2551"/>
          </w:tcPr>
          <w:p>
            <w:r>
              <w:t>Program Outcome (PO)</w:t>
            </w:r>
          </w:p>
        </w:tc>
        <w:tc>
          <w:tcPr>
            <w:tcW w:type="dxa" w:w="7087"/>
          </w:tcPr>
          <w:p>
            <w:r>
              <w:t>Cognitive Science</w:t>
            </w:r>
          </w:p>
        </w:tc>
      </w:tr>
      <w:tr>
        <w:tc>
          <w:tcPr>
            <w:tcW w:type="dxa" w:w="2551"/>
          </w:tcPr>
          <w:p>
            <w:r>
              <w:t>Knowledge Level (K-Level)</w:t>
            </w:r>
          </w:p>
        </w:tc>
        <w:tc>
          <w:tcPr>
            <w:tcW w:type="dxa" w:w="7087"/>
          </w:tcPr>
          <w:p>
            <w:r>
              <w:t>intermediate</w:t>
            </w:r>
          </w:p>
        </w:tc>
      </w:tr>
    </w:tbl>
    <w:p>
      <w:pPr>
        <w:pStyle w:val="Heading2"/>
        <w:spacing w:after="240"/>
      </w:pPr>
      <w:r>
        <w:t>Content</w:t>
      </w:r>
    </w:p>
    <w:p>
      <w:pPr>
        <w:pStyle w:val="Heading4"/>
      </w:pPr>
      <w:r>
        <w:t>Introduction</w:t>
      </w:r>
    </w:p>
    <w:p>
      <w:pPr>
        <w:spacing w:after="120"/>
      </w:pPr>
      <w:r>
        <w:rPr>
          <w:rFonts w:ascii="Calibri" w:hAnsi="Calibri"/>
          <w:color w:val="333333"/>
          <w:sz w:val="22"/>
        </w:rPr>
        <w:t>In the exploration of the psychology of reading minds, it is essential to recognize that our perceptions and interpretations are deeply influenced by both personal experiences and cultural backgrounds. This lesson delves into these themes, providing an in-depth look at how personal experiences shape our perceptions and how cultural differences impact our understanding of others.</w:t>
      </w:r>
    </w:p>
    <w:p>
      <w:pPr>
        <w:pStyle w:val="Heading4"/>
      </w:pPr>
      <w:r>
        <w:t>Key Concepts</w:t>
      </w:r>
    </w:p>
    <w:p>
      <w:pPr>
        <w:spacing w:after="120"/>
      </w:pPr>
      <w:r>
        <w:rPr>
          <w:rFonts w:ascii="Calibri" w:hAnsi="Calibri"/>
          <w:color w:val="333333"/>
          <w:sz w:val="22"/>
        </w:rPr>
      </w:r>
      <w:r>
        <w:rPr>
          <w:rFonts w:ascii="Calibri" w:hAnsi="Calibri"/>
          <w:b/>
          <w:color w:val="333333"/>
          <w:sz w:val="22"/>
        </w:rPr>
        <w:t>Personal Experiences:</w:t>
      </w:r>
      <w:r>
        <w:rPr>
          <w:rFonts w:ascii="Calibri" w:hAnsi="Calibri"/>
          <w:color w:val="333333"/>
          <w:sz w:val="22"/>
        </w:rPr>
      </w:r>
    </w:p>
    <w:p>
      <w:pPr>
        <w:spacing w:after="120"/>
      </w:pPr>
      <w:r>
        <w:rPr>
          <w:rFonts w:ascii="Calibri" w:hAnsi="Calibri"/>
          <w:color w:val="333333"/>
          <w:sz w:val="22"/>
        </w:rPr>
        <w:t>Personal experiences play a significant role in shaping our perceptions and interpretations. They shape our beliefs, values, and attitudes, which in turn influence how we interpret others.</w:t>
      </w:r>
    </w:p>
    <w:p>
      <w:pPr>
        <w:spacing w:after="120"/>
      </w:pPr>
      <w:r>
        <w:rPr>
          <w:rFonts w:ascii="Calibri" w:hAnsi="Calibri"/>
          <w:color w:val="333333"/>
          <w:sz w:val="22"/>
        </w:rPr>
      </w:r>
      <w:r>
        <w:rPr>
          <w:rFonts w:ascii="Calibri" w:hAnsi="Calibri"/>
          <w:b/>
          <w:color w:val="333333"/>
          <w:sz w:val="22"/>
        </w:rPr>
        <w:t>Cultural Backgrounds:</w:t>
      </w:r>
      <w:r>
        <w:rPr>
          <w:rFonts w:ascii="Calibri" w:hAnsi="Calibri"/>
          <w:color w:val="333333"/>
          <w:sz w:val="22"/>
        </w:rPr>
      </w:r>
    </w:p>
    <w:p>
      <w:pPr>
        <w:spacing w:after="120"/>
      </w:pPr>
      <w:r>
        <w:rPr>
          <w:rFonts w:ascii="Calibri" w:hAnsi="Calibri"/>
          <w:color w:val="333333"/>
          <w:sz w:val="22"/>
        </w:rPr>
        <w:t>Cultural backgrounds also significantly impact our understanding of others. Different cultures have different norms, values, and behaviors, which can cause misunderstandings or misinterpretations.</w:t>
      </w:r>
    </w:p>
    <w:p>
      <w:pPr>
        <w:spacing w:after="120"/>
      </w:pPr>
      <w:r>
        <w:rPr>
          <w:rFonts w:ascii="Calibri" w:hAnsi="Calibri"/>
          <w:color w:val="333333"/>
          <w:sz w:val="22"/>
        </w:rPr>
      </w:r>
      <w:r>
        <w:rPr>
          <w:rFonts w:ascii="Calibri" w:hAnsi="Calibri"/>
          <w:b/>
          <w:color w:val="333333"/>
          <w:sz w:val="22"/>
        </w:rPr>
        <w:t>Interpretation of Diversity:</w:t>
      </w:r>
      <w:r>
        <w:rPr>
          <w:rFonts w:ascii="Calibri" w:hAnsi="Calibri"/>
          <w:color w:val="333333"/>
          <w:sz w:val="22"/>
        </w:rPr>
      </w:r>
    </w:p>
    <w:p>
      <w:pPr>
        <w:spacing w:after="120"/>
      </w:pPr>
      <w:r>
        <w:rPr>
          <w:rFonts w:ascii="Calibri" w:hAnsi="Calibri"/>
          <w:color w:val="333333"/>
          <w:sz w:val="22"/>
        </w:rPr>
        <w:t>Interpreting diverse viewpoints and emotions can be complex. It requires a keen understanding of cultural differences and personal experiences.</w:t>
      </w:r>
    </w:p>
    <w:p>
      <w:pPr>
        <w:pStyle w:val="Heading4"/>
      </w:pPr>
      <w:r>
        <w:t>Practical Examples</w:t>
      </w:r>
    </w:p>
    <w:p>
      <w:pPr>
        <w:spacing w:after="120"/>
      </w:pPr>
      <w:r>
        <w:rPr>
          <w:rFonts w:ascii="Calibri" w:hAnsi="Calibri"/>
          <w:color w:val="333333"/>
          <w:sz w:val="22"/>
        </w:rPr>
      </w:r>
      <w:r>
        <w:rPr>
          <w:rFonts w:ascii="Calibri" w:hAnsi="Calibri"/>
          <w:b/>
          <w:color w:val="333333"/>
          <w:sz w:val="22"/>
        </w:rPr>
        <w:t>Example 1: Language Barriers</w:t>
      </w:r>
      <w:r>
        <w:rPr>
          <w:rFonts w:ascii="Calibri" w:hAnsi="Calibri"/>
          <w:color w:val="333333"/>
          <w:sz w:val="22"/>
        </w:rPr>
      </w:r>
    </w:p>
    <w:p>
      <w:pPr>
        <w:spacing w:after="120"/>
      </w:pPr>
      <w:r>
        <w:rPr>
          <w:rFonts w:ascii="Calibri" w:hAnsi="Calibri"/>
          <w:color w:val="333333"/>
          <w:sz w:val="22"/>
        </w:rPr>
        <w:t>Imagine you are a teacher and you have students from different cultural backgrounds. Some students may not be fluent in the language you are using, which can lead to miscommunication and misunderstandings. For instance, if a student uses idiomatic expressions that you are not familiar with, you might misinterpret their meaning.</w:t>
      </w:r>
    </w:p>
    <w:p>
      <w:pPr>
        <w:spacing w:after="120"/>
      </w:pPr>
      <w:r>
        <w:rPr>
          <w:rFonts w:ascii="Calibri" w:hAnsi="Calibri"/>
          <w:color w:val="333333"/>
          <w:sz w:val="22"/>
        </w:rPr>
      </w:r>
      <w:r>
        <w:rPr>
          <w:rFonts w:ascii="Calibri" w:hAnsi="Calibri"/>
          <w:b/>
          <w:color w:val="333333"/>
          <w:sz w:val="22"/>
        </w:rPr>
        <w:t>Example 2: Cultural Sensitivity</w:t>
      </w:r>
      <w:r>
        <w:rPr>
          <w:rFonts w:ascii="Calibri" w:hAnsi="Calibri"/>
          <w:color w:val="333333"/>
          <w:sz w:val="22"/>
        </w:rPr>
      </w:r>
    </w:p>
    <w:p>
      <w:pPr>
        <w:spacing w:after="120"/>
      </w:pPr>
      <w:r>
        <w:rPr>
          <w:rFonts w:ascii="Calibri" w:hAnsi="Calibri"/>
          <w:color w:val="333333"/>
          <w:sz w:val="22"/>
        </w:rPr>
        <w:t>Consider a scenario where you are working in a multicultural team. One team member might be very direct and assertive, while another might be more reserved and indirect. Both styles can be seen as rude in different cultures, leading to potential conflicts. Understanding cultural differences can help you navigate these situations more effectively.</w:t>
      </w:r>
    </w:p>
    <w:p>
      <w:pPr>
        <w:spacing w:after="120"/>
      </w:pPr>
      <w:r>
        <w:rPr>
          <w:rFonts w:ascii="Calibri" w:hAnsi="Calibri"/>
          <w:color w:val="333333"/>
          <w:sz w:val="22"/>
        </w:rPr>
      </w:r>
      <w:r>
        <w:rPr>
          <w:rFonts w:ascii="Calibri" w:hAnsi="Calibri"/>
          <w:b/>
          <w:color w:val="333333"/>
          <w:sz w:val="22"/>
        </w:rPr>
        <w:t>Example 3: Personal Experiences and Emotional Intelligence</w:t>
      </w:r>
      <w:r>
        <w:rPr>
          <w:rFonts w:ascii="Calibri" w:hAnsi="Calibri"/>
          <w:color w:val="333333"/>
          <w:sz w:val="22"/>
        </w:rPr>
      </w:r>
    </w:p>
    <w:p>
      <w:pPr>
        <w:spacing w:after="120"/>
      </w:pPr>
      <w:r>
        <w:rPr>
          <w:rFonts w:ascii="Calibri" w:hAnsi="Calibri"/>
          <w:color w:val="333333"/>
          <w:sz w:val="22"/>
        </w:rPr>
        <w:t>Reflect on a personal experience where you had to interpret someone's emotional state. How did your personal experiences with similar situations influence your interpretation? For instance, if you have had a close friendship break up, you might be more attuned to signs of emotional distress in others.</w:t>
      </w:r>
    </w:p>
    <w:p>
      <w:pPr>
        <w:pStyle w:val="Heading4"/>
      </w:pPr>
      <w:r>
        <w:t>Case Study: The Cultural Differences Case</w:t>
      </w:r>
    </w:p>
    <w:p>
      <w:pPr>
        <w:spacing w:after="120"/>
      </w:pPr>
      <w:r>
        <w:rPr>
          <w:rFonts w:ascii="Calibri" w:hAnsi="Calibri"/>
          <w:color w:val="333333"/>
          <w:sz w:val="22"/>
        </w:rPr>
      </w:r>
      <w:r>
        <w:rPr>
          <w:rFonts w:ascii="Calibri" w:hAnsi="Calibri"/>
          <w:b/>
          <w:color w:val="333333"/>
          <w:sz w:val="22"/>
        </w:rPr>
        <w:t>Case Study Summary:</w:t>
      </w:r>
      <w:r>
        <w:rPr>
          <w:rFonts w:ascii="Calibri" w:hAnsi="Calibri"/>
          <w:color w:val="333333"/>
          <w:sz w:val="22"/>
        </w:rPr>
      </w:r>
    </w:p>
    <w:p>
      <w:pPr>
        <w:pStyle w:val="ListBullet"/>
        <w:spacing w:after="40" w:before="40"/>
      </w:pPr>
      <w:r>
        <w:rPr>
          <w:rFonts w:ascii="Calibri" w:hAnsi="Calibri"/>
          <w:color w:val="333333"/>
          <w:sz w:val="22"/>
        </w:rPr>
      </w:r>
      <w:r>
        <w:rPr>
          <w:rFonts w:ascii="Calibri" w:hAnsi="Calibri"/>
          <w:b/>
          <w:color w:val="333333"/>
          <w:sz w:val="22"/>
        </w:rPr>
        <w:t>Scenario:</w:t>
      </w:r>
      <w:r>
        <w:rPr>
          <w:rFonts w:ascii="Calibri" w:hAnsi="Calibri"/>
          <w:color w:val="333333"/>
          <w:sz w:val="22"/>
        </w:rPr>
        <w:t xml:space="preserve"> You are a manager in a multinational corporation with employees from various cultural backgrounds.</w:t>
      </w:r>
    </w:p>
    <w:p>
      <w:pPr>
        <w:pStyle w:val="ListBullet"/>
        <w:spacing w:after="40" w:before="40"/>
      </w:pPr>
      <w:r>
        <w:rPr>
          <w:rFonts w:ascii="Calibri" w:hAnsi="Calibri"/>
          <w:color w:val="333333"/>
          <w:sz w:val="22"/>
        </w:rPr>
      </w:r>
      <w:r>
        <w:rPr>
          <w:rFonts w:ascii="Calibri" w:hAnsi="Calibri"/>
          <w:b/>
          <w:color w:val="333333"/>
          <w:sz w:val="22"/>
        </w:rPr>
        <w:t>Problem:</w:t>
      </w:r>
      <w:r>
        <w:rPr>
          <w:rFonts w:ascii="Calibri" w:hAnsi="Calibri"/>
          <w:color w:val="333333"/>
          <w:sz w:val="22"/>
        </w:rPr>
        <w:t xml:space="preserve"> Employees from different countries have varying work styles and communication preferences, leading to misunderstandings and conflicts.</w:t>
      </w:r>
    </w:p>
    <w:p>
      <w:pPr>
        <w:pStyle w:val="ListBullet"/>
        <w:spacing w:after="40" w:before="40"/>
      </w:pPr>
      <w:r>
        <w:rPr>
          <w:rFonts w:ascii="Calibri" w:hAnsi="Calibri"/>
          <w:color w:val="333333"/>
          <w:sz w:val="22"/>
        </w:rPr>
      </w:r>
      <w:r>
        <w:rPr>
          <w:rFonts w:ascii="Calibri" w:hAnsi="Calibri"/>
          <w:b/>
          <w:color w:val="333333"/>
          <w:sz w:val="22"/>
        </w:rPr>
        <w:t>Solution:</w:t>
      </w:r>
      <w:r>
        <w:rPr>
          <w:rFonts w:ascii="Calibri" w:hAnsi="Calibri"/>
          <w:color w:val="333333"/>
          <w:sz w:val="22"/>
        </w:rPr>
        <w:t xml:space="preserve"> Implementing cultural sensitivity training and encouraging open communication can help bridge these gaps.</w:t>
      </w:r>
    </w:p>
    <w:p>
      <w:pPr>
        <w:spacing w:after="120"/>
      </w:pPr>
      <w:r>
        <w:rPr>
          <w:rFonts w:ascii="Calibri" w:hAnsi="Calibri"/>
          <w:color w:val="333333"/>
          <w:sz w:val="22"/>
        </w:rPr>
      </w:r>
      <w:r>
        <w:rPr>
          <w:rFonts w:ascii="Calibri" w:hAnsi="Calibri"/>
          <w:b/>
          <w:color w:val="333333"/>
          <w:sz w:val="22"/>
        </w:rPr>
        <w:t>Key Takeaways:</w:t>
      </w:r>
      <w:r>
        <w:rPr>
          <w:rFonts w:ascii="Calibri" w:hAnsi="Calibri"/>
          <w:color w:val="333333"/>
          <w:sz w:val="22"/>
        </w:rPr>
      </w:r>
    </w:p>
    <w:p>
      <w:pPr>
        <w:pStyle w:val="ListNumber"/>
        <w:spacing w:after="40" w:before="40"/>
      </w:pPr>
      <w:r>
        <w:rPr>
          <w:rFonts w:ascii="Calibri" w:hAnsi="Calibri"/>
          <w:color w:val="333333"/>
          <w:sz w:val="22"/>
        </w:rPr>
      </w:r>
      <w:r>
        <w:rPr>
          <w:rFonts w:ascii="Calibri" w:hAnsi="Calibri"/>
          <w:b/>
          <w:color w:val="333333"/>
          <w:sz w:val="22"/>
        </w:rPr>
        <w:t>Personal Experiences:</w:t>
      </w:r>
      <w:r>
        <w:rPr>
          <w:rFonts w:ascii="Calibri" w:hAnsi="Calibri"/>
          <w:color w:val="333333"/>
          <w:sz w:val="22"/>
        </w:rPr>
        <w:t xml:space="preserve"> Recognize and acknowledge your personal experiences as they shape your perceptions and interpretations.</w:t>
      </w:r>
    </w:p>
    <w:p>
      <w:pPr>
        <w:pStyle w:val="ListNumber"/>
        <w:spacing w:after="40" w:before="40"/>
      </w:pPr>
      <w:r>
        <w:rPr>
          <w:rFonts w:ascii="Calibri" w:hAnsi="Calibri"/>
          <w:color w:val="333333"/>
          <w:sz w:val="22"/>
        </w:rPr>
      </w:r>
      <w:r>
        <w:rPr>
          <w:rFonts w:ascii="Calibri" w:hAnsi="Calibri"/>
          <w:b/>
          <w:color w:val="333333"/>
          <w:sz w:val="22"/>
        </w:rPr>
        <w:t>Cultural Differences:</w:t>
      </w:r>
      <w:r>
        <w:rPr>
          <w:rFonts w:ascii="Calibri" w:hAnsi="Calibri"/>
          <w:color w:val="333333"/>
          <w:sz w:val="22"/>
        </w:rPr>
        <w:t xml:space="preserve"> Be aware of cultural differences and their impact on communication and behavior.</w:t>
      </w:r>
    </w:p>
    <w:p>
      <w:pPr>
        <w:pStyle w:val="ListNumber"/>
        <w:spacing w:after="40" w:before="40"/>
      </w:pPr>
      <w:r>
        <w:rPr>
          <w:rFonts w:ascii="Calibri" w:hAnsi="Calibri"/>
          <w:color w:val="333333"/>
          <w:sz w:val="22"/>
        </w:rPr>
      </w:r>
      <w:r>
        <w:rPr>
          <w:rFonts w:ascii="Calibri" w:hAnsi="Calibri"/>
          <w:b/>
          <w:color w:val="333333"/>
          <w:sz w:val="22"/>
        </w:rPr>
        <w:t>Interpretation of Diversity:</w:t>
      </w:r>
      <w:r>
        <w:rPr>
          <w:rFonts w:ascii="Calibri" w:hAnsi="Calibri"/>
          <w:color w:val="333333"/>
          <w:sz w:val="22"/>
        </w:rPr>
        <w:t xml:space="preserve"> Approach diverse viewpoints and emotions with an open mind and an understanding of cultural nuances.</w:t>
      </w:r>
    </w:p>
    <w:p>
      <w:pPr>
        <w:pStyle w:val="Heading4"/>
      </w:pPr>
      <w:r>
        <w:t>Conclusion</w:t>
      </w:r>
    </w:p>
    <w:p>
      <w:pPr>
        <w:spacing w:after="120"/>
      </w:pPr>
      <w:r>
        <w:rPr>
          <w:rFonts w:ascii="Calibri" w:hAnsi="Calibri"/>
          <w:color w:val="333333"/>
          <w:sz w:val="22"/>
        </w:rPr>
        <w:t>Understanding personal experiences and cultural differences is crucial in reading minds. It allows us to navigate complex interpersonal interactions and interpret diverse viewpoints more accurately. By considering these factors, we can foster better communication and build stronger, more inclusive relationships.</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Bdr>
        <w:bottom w:val="single" w:sz="4" w:space="1" w:color="CCCCCC"/>
      </w:pBdr>
    </w:pPr>
    <w:r>
      <w:rPr>
        <w:rFonts w:ascii="Calibri" w:hAnsi="Calibri"/>
        <w:i/>
        <w:color w:val="808080"/>
        <w:sz w:val="16"/>
      </w:rPr>
      <w:t>Lesson 1: Exploring the Psychology of Reading Minds  |  Subtopic 2: Personal Experience and Cultural Differences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Light" w:hAnsi="Calibri Light"/>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Calibri Light" w:hAnsi="Calibri Light"/>
      <w:b/>
      <w:bCs/>
      <w:color w:val="1F3A5F"/>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Light" w:hAnsi="Calibri Light"/>
      <w:b/>
      <w:bCs/>
      <w:color w:val="1F3A5F"/>
      <w:sz w:val="28"/>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Light" w:hAnsi="Calibri Light"/>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before="40"/>
      <w:ind w:left="720" w:hanging="357"/>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before="40"/>
      <w:ind w:left="720" w:hanging="357"/>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before="120"/>
      <w:ind w:left="567" w:right="567"/>
      <w:shd w:fill="F4F4F4" w:val="clear"/>
    </w:pPr>
    <w:rPr>
      <w:rFonts w:ascii="Consolas" w:hAnsi="Consolas"/>
      <w:color w:val="2D2D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