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004DBB"/>
          <w:spacing w:val="0"/>
          <w:position w:val="0"/>
          <w:sz w:val="56"/>
          <w:shd w:fill="auto" w:val="clear"/>
        </w:rPr>
        <w:t xml:space="preserve">Covid-19 vaccine analysis: Phase 4</w:t>
      </w: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48"/>
          <w:u w:val="single"/>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onstantia" w:hAnsi="Constantia" w:cs="Constantia" w:eastAsia="Constantia"/>
          <w:color w:val="auto"/>
          <w:spacing w:val="0"/>
          <w:position w:val="0"/>
          <w:sz w:val="32"/>
          <w:shd w:fill="auto" w:val="clear"/>
        </w:rPr>
        <w:t xml:space="preserve">The global battle against COVID 19 pandemic can be won only if a large part of the world gets vaccinatedagainst the SARS-CoV-2 virus. A considerably low vaccination rate has been observed in low-income countries of the world. In this blog, we study the COVID 19 vaccination trends across the world using python, and we aim to derive key insights from the data which can help policymakers modify their policies.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40"/>
          <w:u w:val="single"/>
          <w:shd w:fill="auto" w:val="clear"/>
        </w:rPr>
        <w:t xml:space="preserve">Abstract:</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36"/>
          <w:shd w:fill="auto" w:val="clear"/>
        </w:rPr>
        <w:t xml:space="preserve">This is because a successful COVID-19 vaccine will require a cautious validation of efficacy and adverse reactivity as the target vaccinee population include high-risk individuals over the age of 60, particularly those with chronic co-morbid conditions, frontline healthcare workers and those involved in essentials industries. Various platforms for vaccine development are available namely: virus vectored vaccines, protein subunit vaccines, genetic vaccines, and monoclonal antibodies for passive immunization which are under evaluations for SARS-CoV-2, with each having discrete benefits and hindrances.</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The COVID-19 pandemic which probably is the most devastating one in the last 100 years after Spanish flu mandates the speedy evaluation of the multiple approaches for competence to elicit protective immunity and safety to curtail unwanted immune-potentiation which plays an important role in the pathogenesis of this virus. This review is aimed at providing an overview of the efforts dedicated to an effective vaccine for this novel coronavirus which has crippled the world in terms of economy, human health and life.</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48"/>
          <w:u w:val="single"/>
          <w:shd w:fill="auto" w:val="clear"/>
        </w:rPr>
        <w:t xml:space="preserve">New Features:</w:t>
      </w:r>
      <w:r>
        <w:rPr>
          <w:rFonts w:ascii="Calibri" w:hAnsi="Calibri" w:cs="Calibri" w:eastAsia="Calibri"/>
          <w:color w:val="auto"/>
          <w:spacing w:val="0"/>
          <w:position w:val="0"/>
          <w:sz w:val="36"/>
          <w:shd w:fill="auto" w:val="clear"/>
        </w:rPr>
        <w:t xml:space="preserve"> </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u w:val="single"/>
          <w:shd w:fill="auto" w:val="clear"/>
        </w:rPr>
        <w:t xml:space="preserve">Stems, Interior Loops, Hairpin Loops, etc.</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Let's have a look at the new features and their characteristics! First, let's do a sanity check to see if the forgi features and the bpRNA features are indicating the same structure.</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For the stems, forgi and the retrieved values from predicted_loop_type have some deviations. This is because forgi already takes into account where a new stem begins. Here, I would recommend preferring the forgi values (unless your method of retrieving the stems is more advanced than mine).</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 similar effect can be seen for the multiloop segments. When 'SSSSSSSSSSSSS' would represent parts of two stems, forgi creates a multiloop segment for the break between those two. Therefore, I would probably prefer the retrieved values from predicted_loop_type in this case.</w:t>
      </w:r>
    </w:p>
    <w:p>
      <w:pPr>
        <w:spacing w:before="0" w:after="0" w:line="240"/>
        <w:ind w:right="0" w:left="0" w:firstLine="0"/>
        <w:jc w:val="left"/>
        <w:rPr>
          <w:rFonts w:ascii="Roboto-Bold" w:hAnsi="Roboto-Bold" w:cs="Roboto-Bold" w:eastAsia="Roboto-Bold"/>
          <w:b/>
          <w:color w:val="101010"/>
          <w:spacing w:val="0"/>
          <w:position w:val="0"/>
          <w:sz w:val="27"/>
          <w:shd w:fill="auto" w:val="clear"/>
        </w:rPr>
      </w:pPr>
      <w:r>
        <w:rPr>
          <w:rFonts w:ascii="Roboto-Bold" w:hAnsi="Roboto-Bold" w:cs="Roboto-Bold" w:eastAsia="Roboto-Bold"/>
          <w:b/>
          <w:color w:val="101010"/>
          <w:spacing w:val="0"/>
          <w:position w:val="0"/>
          <w:sz w:val="44"/>
          <w:shd w:fill="auto" w:val="clear"/>
        </w:rPr>
        <w:t xml:space="preserve">Data:</w:t>
      </w:r>
    </w:p>
    <w:p>
      <w:pPr>
        <w:spacing w:before="0" w:after="0" w:line="240"/>
        <w:ind w:right="0" w:left="0" w:firstLine="0"/>
        <w:jc w:val="left"/>
        <w:rPr>
          <w:rFonts w:ascii="Roboto-Regular" w:hAnsi="Roboto-Regular" w:cs="Roboto-Regular" w:eastAsia="Roboto-Regular"/>
          <w:color w:val="101010"/>
          <w:spacing w:val="0"/>
          <w:position w:val="0"/>
          <w:sz w:val="32"/>
          <w:shd w:fill="auto" w:val="clear"/>
        </w:rPr>
      </w:pPr>
      <w:r>
        <w:rPr>
          <w:rFonts w:ascii="Roboto-Regular" w:hAnsi="Roboto-Regular" w:cs="Roboto-Regular" w:eastAsia="Roboto-Regular"/>
          <w:color w:val="101010"/>
          <w:spacing w:val="0"/>
          <w:position w:val="0"/>
          <w:sz w:val="32"/>
          <w:shd w:fill="auto" w:val="clear"/>
        </w:rPr>
        <w:t xml:space="preserve">The country vaccinations data have been downloaded from Kaggle, and it was last updated on March 8,</w:t>
      </w:r>
    </w:p>
    <w:p>
      <w:pPr>
        <w:spacing w:before="0" w:after="0" w:line="240"/>
        <w:ind w:right="0" w:left="0" w:firstLine="0"/>
        <w:jc w:val="left"/>
        <w:rPr>
          <w:rFonts w:ascii="Roboto-Regular" w:hAnsi="Roboto-Regular" w:cs="Roboto-Regular" w:eastAsia="Roboto-Regular"/>
          <w:color w:val="101010"/>
          <w:spacing w:val="0"/>
          <w:position w:val="0"/>
          <w:sz w:val="32"/>
          <w:shd w:fill="auto" w:val="clear"/>
        </w:rPr>
      </w:pPr>
      <w:r>
        <w:rPr>
          <w:rFonts w:ascii="Roboto-Regular" w:hAnsi="Roboto-Regular" w:cs="Roboto-Regular" w:eastAsia="Roboto-Regular"/>
          <w:color w:val="101010"/>
          <w:spacing w:val="0"/>
          <w:position w:val="0"/>
          <w:sz w:val="32"/>
          <w:shd w:fill="auto" w:val="clear"/>
        </w:rPr>
        <w:t xml:space="preserve">2022.</w:t>
      </w:r>
    </w:p>
    <w:p>
      <w:pPr>
        <w:spacing w:before="0" w:after="0" w:line="240"/>
        <w:ind w:right="0" w:left="0" w:firstLine="0"/>
        <w:jc w:val="left"/>
        <w:rPr>
          <w:rFonts w:ascii="Roboto-Regular" w:hAnsi="Roboto-Regular" w:cs="Roboto-Regular" w:eastAsia="Roboto-Regular"/>
          <w:color w:val="101010"/>
          <w:spacing w:val="0"/>
          <w:position w:val="0"/>
          <w:sz w:val="28"/>
          <w:shd w:fill="auto" w:val="clear"/>
        </w:rPr>
      </w:pPr>
      <w:r>
        <w:rPr>
          <w:rFonts w:ascii="Roboto-Regular" w:hAnsi="Roboto-Regular" w:cs="Roboto-Regular" w:eastAsia="Roboto-Regular"/>
          <w:color w:val="101010"/>
          <w:spacing w:val="0"/>
          <w:position w:val="0"/>
          <w:sz w:val="28"/>
          <w:shd w:fill="auto" w:val="clear"/>
        </w:rPr>
        <w:t xml:space="preserve">Link: </w:t>
      </w:r>
      <w:hyperlink xmlns:r="http://schemas.openxmlformats.org/officeDocument/2006/relationships" r:id="docRId0">
        <w:r>
          <w:rPr>
            <w:rFonts w:ascii="Roboto-Regular" w:hAnsi="Roboto-Regular" w:cs="Roboto-Regular" w:eastAsia="Roboto-Regular"/>
            <w:color w:val="0000FF"/>
            <w:spacing w:val="0"/>
            <w:position w:val="0"/>
            <w:sz w:val="28"/>
            <w:u w:val="single"/>
            <w:shd w:fill="auto" w:val="clear"/>
          </w:rPr>
          <w:t xml:space="preserve">https://www.kaggle.com/code/terencemao/covid-vaccination-rates/data</w:t>
        </w:r>
      </w:hyperlink>
    </w:p>
    <w:p>
      <w:pPr>
        <w:spacing w:before="0" w:after="0" w:line="240"/>
        <w:ind w:right="0" w:left="0" w:firstLine="0"/>
        <w:jc w:val="left"/>
        <w:rPr>
          <w:rFonts w:ascii="Roboto-Regular" w:hAnsi="Roboto-Regular" w:cs="Roboto-Regular" w:eastAsia="Roboto-Regular"/>
          <w:color w:val="101010"/>
          <w:spacing w:val="0"/>
          <w:position w:val="0"/>
          <w:sz w:val="28"/>
          <w:shd w:fill="auto" w:val="clear"/>
        </w:rPr>
      </w:pPr>
    </w:p>
    <w:p>
      <w:pPr>
        <w:spacing w:before="0" w:after="0" w:line="240"/>
        <w:ind w:right="0" w:left="0" w:firstLine="0"/>
        <w:jc w:val="left"/>
        <w:rPr>
          <w:rFonts w:ascii="Roboto-Regular" w:hAnsi="Roboto-Regular" w:cs="Roboto-Regular" w:eastAsia="Roboto-Regular"/>
          <w:color w:val="101010"/>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object w:dxaOrig="8747" w:dyaOrig="7086">
          <v:rect xmlns:o="urn:schemas-microsoft-com:office:office" xmlns:v="urn:schemas-microsoft-com:vml" id="rectole0000000000" style="width:437.350000pt;height:354.3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Arial Bold" w:hAnsi="Arial Bold" w:cs="Arial Bold" w:eastAsia="Arial Bold"/>
          <w:b/>
          <w:color w:val="auto"/>
          <w:spacing w:val="0"/>
          <w:position w:val="0"/>
          <w:sz w:val="36"/>
          <w:shd w:fill="auto" w:val="clear"/>
        </w:rPr>
      </w:pPr>
      <w:r>
        <w:rPr>
          <w:rFonts w:ascii="Arial Bold" w:hAnsi="Arial Bold" w:cs="Arial Bold" w:eastAsia="Arial Bold"/>
          <w:b/>
          <w:color w:val="auto"/>
          <w:spacing w:val="0"/>
          <w:position w:val="0"/>
          <w:sz w:val="36"/>
          <w:shd w:fill="auto" w:val="clear"/>
        </w:rPr>
        <w:t xml:space="preserve">Incubation period of covid-19 from</w: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Arial Bold" w:hAnsi="Arial Bold" w:cs="Arial Bold" w:eastAsia="Arial Bold"/>
          <w:b/>
          <w:color w:val="auto"/>
          <w:spacing w:val="0"/>
          <w:position w:val="0"/>
          <w:sz w:val="36"/>
          <w:shd w:fill="auto" w:val="clear"/>
        </w:rPr>
        <w:t xml:space="preserve">exposure start to symptoms onset [20]:</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object w:dxaOrig="6175" w:dyaOrig="5912">
          <v:rect xmlns:o="urn:schemas-microsoft-com:office:office" xmlns:v="urn:schemas-microsoft-com:vml" id="rectole0000000001" style="width:308.750000pt;height:295.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0" w:line="240"/>
        <w:ind w:right="0" w:left="0" w:firstLine="0"/>
        <w:jc w:val="left"/>
        <w:rPr>
          <w:rFonts w:ascii="Arial Bold" w:hAnsi="Arial Bold" w:cs="Arial Bold" w:eastAsia="Arial Bold"/>
          <w:b/>
          <w:color w:val="auto"/>
          <w:spacing w:val="0"/>
          <w:position w:val="0"/>
          <w:sz w:val="36"/>
          <w:shd w:fill="auto" w:val="clear"/>
        </w:rPr>
      </w:pPr>
      <w:r>
        <w:rPr>
          <w:rFonts w:ascii="Arial Bold" w:hAnsi="Arial Bold" w:cs="Arial Bold" w:eastAsia="Arial Bold"/>
          <w:b/>
          <w:color w:val="auto"/>
          <w:spacing w:val="0"/>
          <w:position w:val="0"/>
          <w:sz w:val="36"/>
          <w:shd w:fill="auto" w:val="clear"/>
        </w:rPr>
        <w:t xml:space="preserve">Incubation period of covid-19 from</w: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Arial Bold" w:hAnsi="Arial Bold" w:cs="Arial Bold" w:eastAsia="Arial Bold"/>
          <w:b/>
          <w:color w:val="auto"/>
          <w:spacing w:val="0"/>
          <w:position w:val="0"/>
          <w:sz w:val="36"/>
          <w:shd w:fill="auto" w:val="clear"/>
        </w:rPr>
        <w:t xml:space="preserve">symptom onset to hospital visit [20]:</w:t>
      </w:r>
    </w:p>
    <w:p>
      <w:pPr>
        <w:spacing w:before="0" w:after="0" w:line="240"/>
        <w:ind w:right="0" w:left="0" w:firstLine="0"/>
        <w:jc w:val="left"/>
        <w:rPr>
          <w:rFonts w:ascii="Calibri" w:hAnsi="Calibri" w:cs="Calibri" w:eastAsia="Calibri"/>
          <w:color w:val="auto"/>
          <w:spacing w:val="0"/>
          <w:position w:val="0"/>
          <w:sz w:val="36"/>
          <w:shd w:fill="auto" w:val="clear"/>
        </w:rPr>
      </w:pPr>
      <w:r>
        <w:object w:dxaOrig="5871" w:dyaOrig="5790">
          <v:rect xmlns:o="urn:schemas-microsoft-com:office:office" xmlns:v="urn:schemas-microsoft-com:vml" id="rectole0000000002" style="width:293.550000pt;height:289.5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Infected people of different countries according to temperature domain [12,23,24]:</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object w:dxaOrig="8747" w:dyaOrig="5426">
          <v:rect xmlns:o="urn:schemas-microsoft-com:office:office" xmlns:v="urn:schemas-microsoft-com:vml" id="rectole0000000003" style="width:437.350000pt;height:271.3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48"/>
          <w:shd w:fill="auto" w:val="clear"/>
        </w:rPr>
        <w:t xml:space="preserve">Dashboards:</w:t>
      </w:r>
    </w:p>
    <w:p>
      <w:pPr>
        <w:spacing w:before="0" w:after="0" w:line="240"/>
        <w:ind w:right="0" w:left="0" w:firstLine="0"/>
        <w:jc w:val="left"/>
        <w:rPr>
          <w:rFonts w:ascii="Calibri" w:hAnsi="Calibri" w:cs="Calibri" w:eastAsia="Calibri"/>
          <w:color w:val="auto"/>
          <w:spacing w:val="0"/>
          <w:position w:val="0"/>
          <w:sz w:val="36"/>
          <w:shd w:fill="auto" w:val="clear"/>
        </w:rPr>
      </w:pPr>
      <w:r>
        <w:object w:dxaOrig="8747" w:dyaOrig="5264">
          <v:rect xmlns:o="urn:schemas-microsoft-com:office:office" xmlns:v="urn:schemas-microsoft-com:vml" id="rectole0000000004" style="width:437.350000pt;height:263.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0" w:line="240"/>
        <w:ind w:right="0" w:left="0" w:firstLine="0"/>
        <w:jc w:val="left"/>
        <w:rPr>
          <w:rFonts w:ascii="Calibri" w:hAnsi="Calibri" w:cs="Calibri" w:eastAsia="Calibri"/>
          <w:color w:val="auto"/>
          <w:spacing w:val="0"/>
          <w:position w:val="0"/>
          <w:sz w:val="36"/>
          <w:shd w:fill="auto" w:val="clear"/>
        </w:rPr>
      </w:pPr>
      <w:r>
        <w:object w:dxaOrig="8747" w:dyaOrig="5567">
          <v:rect xmlns:o="urn:schemas-microsoft-com:office:office" xmlns:v="urn:schemas-microsoft-com:vml" id="rectole0000000005" style="width:437.350000pt;height:278.3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0" w:line="240"/>
        <w:ind w:right="0" w:left="0" w:firstLine="0"/>
        <w:jc w:val="left"/>
        <w:rPr>
          <w:rFonts w:ascii="Calibri" w:hAnsi="Calibri" w:cs="Calibri" w:eastAsia="Calibri"/>
          <w:color w:val="auto"/>
          <w:spacing w:val="0"/>
          <w:position w:val="0"/>
          <w:sz w:val="36"/>
          <w:shd w:fill="auto" w:val="clear"/>
        </w:rPr>
      </w:pPr>
      <w:r>
        <w:object w:dxaOrig="8747" w:dyaOrig="4778">
          <v:rect xmlns:o="urn:schemas-microsoft-com:office:office" xmlns:v="urn:schemas-microsoft-com:vml" id="rectole0000000006" style="width:437.350000pt;height:238.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0" w:line="240"/>
        <w:ind w:right="0" w:left="0" w:firstLine="0"/>
        <w:jc w:val="left"/>
        <w:rPr>
          <w:rFonts w:ascii="Calibri" w:hAnsi="Calibri" w:cs="Calibri" w:eastAsia="Calibri"/>
          <w:color w:val="auto"/>
          <w:spacing w:val="0"/>
          <w:position w:val="0"/>
          <w:sz w:val="36"/>
          <w:shd w:fill="auto" w:val="clear"/>
        </w:rPr>
      </w:pPr>
      <w:r>
        <w:object w:dxaOrig="8747" w:dyaOrig="6418">
          <v:rect xmlns:o="urn:schemas-microsoft-com:office:office" xmlns:v="urn:schemas-microsoft-com:vml" id="rectole0000000007" style="width:437.350000pt;height:320.9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0" w:line="240"/>
        <w:ind w:right="0" w:left="0" w:firstLine="0"/>
        <w:jc w:val="left"/>
        <w:rPr>
          <w:rFonts w:ascii="AdvGulliv-R" w:hAnsi="AdvGulliv-R" w:cs="AdvGulliv-R" w:eastAsia="AdvGulliv-R"/>
          <w:color w:val="auto"/>
          <w:spacing w:val="0"/>
          <w:position w:val="0"/>
          <w:sz w:val="28"/>
          <w:shd w:fill="auto" w:val="clear"/>
        </w:rPr>
      </w:pPr>
      <w:r>
        <w:rPr>
          <w:rFonts w:ascii="AdvGulliv-R" w:hAnsi="AdvGulliv-R" w:cs="AdvGulliv-R" w:eastAsia="AdvGulliv-R"/>
          <w:color w:val="auto"/>
          <w:spacing w:val="0"/>
          <w:position w:val="0"/>
          <w:sz w:val="28"/>
          <w:shd w:fill="auto" w:val="clear"/>
        </w:rPr>
        <w:t xml:space="preserve">The VSD COVID-19 Vaccine Dashboard displays key COVID-19</w:t>
      </w:r>
    </w:p>
    <w:p>
      <w:pPr>
        <w:spacing w:before="0" w:after="0" w:line="240"/>
        <w:ind w:right="0" w:left="0" w:firstLine="0"/>
        <w:jc w:val="left"/>
        <w:rPr>
          <w:rFonts w:ascii="AdvGulliv-R" w:hAnsi="AdvGulliv-R" w:cs="AdvGulliv-R" w:eastAsia="AdvGulliv-R"/>
          <w:color w:val="auto"/>
          <w:spacing w:val="0"/>
          <w:position w:val="0"/>
          <w:sz w:val="28"/>
          <w:shd w:fill="auto" w:val="clear"/>
        </w:rPr>
      </w:pPr>
      <w:r>
        <w:rPr>
          <w:rFonts w:ascii="AdvGulliv-R" w:hAnsi="AdvGulliv-R" w:cs="AdvGulliv-R" w:eastAsia="AdvGulliv-R"/>
          <w:color w:val="auto"/>
          <w:spacing w:val="0"/>
          <w:position w:val="0"/>
          <w:sz w:val="28"/>
          <w:shd w:fill="auto" w:val="clear"/>
        </w:rPr>
        <w:t xml:space="preserve">vaccine and health outcome metrics to facilitate rapid review of</w:t>
      </w:r>
    </w:p>
    <w:p>
      <w:pPr>
        <w:spacing w:before="0" w:after="0" w:line="240"/>
        <w:ind w:right="0" w:left="0" w:firstLine="0"/>
        <w:jc w:val="left"/>
        <w:rPr>
          <w:rFonts w:ascii="AdvGulliv-R" w:hAnsi="AdvGulliv-R" w:cs="AdvGulliv-R" w:eastAsia="AdvGulliv-R"/>
          <w:color w:val="auto"/>
          <w:spacing w:val="0"/>
          <w:position w:val="0"/>
          <w:sz w:val="28"/>
          <w:shd w:fill="auto" w:val="clear"/>
        </w:rPr>
      </w:pPr>
      <w:r>
        <w:rPr>
          <w:rFonts w:ascii="AdvGulliv-R" w:hAnsi="AdvGulliv-R" w:cs="AdvGulliv-R" w:eastAsia="AdvGulliv-R"/>
          <w:color w:val="auto"/>
          <w:spacing w:val="0"/>
          <w:position w:val="0"/>
          <w:sz w:val="28"/>
          <w:shd w:fill="auto" w:val="clear"/>
        </w:rPr>
        <w:t xml:space="preserve">weekly automated data. The dashboard was developed using</w:t>
      </w:r>
    </w:p>
    <w:p>
      <w:pPr>
        <w:spacing w:before="0" w:after="0" w:line="240"/>
        <w:ind w:right="0" w:left="0" w:firstLine="0"/>
        <w:jc w:val="left"/>
        <w:rPr>
          <w:rFonts w:ascii="AdvGulliv-R" w:hAnsi="AdvGulliv-R" w:cs="AdvGulliv-R" w:eastAsia="AdvGulliv-R"/>
          <w:color w:val="auto"/>
          <w:spacing w:val="0"/>
          <w:position w:val="0"/>
          <w:sz w:val="28"/>
          <w:shd w:fill="auto" w:val="clear"/>
        </w:rPr>
      </w:pPr>
      <w:r>
        <w:rPr>
          <w:rFonts w:ascii="AdvGulliv-R" w:hAnsi="AdvGulliv-R" w:cs="AdvGulliv-R" w:eastAsia="AdvGulliv-R"/>
          <w:color w:val="auto"/>
          <w:spacing w:val="0"/>
          <w:position w:val="0"/>
          <w:sz w:val="28"/>
          <w:shd w:fill="auto" w:val="clear"/>
        </w:rPr>
        <w:t xml:space="preserve">Tableau software (Version 2020.4 and later). Dashboard development</w:t>
      </w:r>
    </w:p>
    <w:p>
      <w:pPr>
        <w:spacing w:before="0" w:after="0" w:line="240"/>
        <w:ind w:right="0" w:left="0" w:firstLine="0"/>
        <w:jc w:val="left"/>
        <w:rPr>
          <w:rFonts w:ascii="AdvGulliv-R" w:hAnsi="AdvGulliv-R" w:cs="AdvGulliv-R" w:eastAsia="AdvGulliv-R"/>
          <w:color w:val="auto"/>
          <w:spacing w:val="0"/>
          <w:position w:val="0"/>
          <w:sz w:val="28"/>
          <w:shd w:fill="auto" w:val="clear"/>
        </w:rPr>
      </w:pPr>
      <w:r>
        <w:rPr>
          <w:rFonts w:ascii="AdvGulliv-R" w:hAnsi="AdvGulliv-R" w:cs="AdvGulliv-R" w:eastAsia="AdvGulliv-R"/>
          <w:color w:val="auto"/>
          <w:spacing w:val="0"/>
          <w:position w:val="0"/>
          <w:sz w:val="28"/>
          <w:shd w:fill="auto" w:val="clear"/>
        </w:rPr>
        <w:t xml:space="preserve">began in early December 2020. During the initial design</w:t>
      </w:r>
    </w:p>
    <w:p>
      <w:pPr>
        <w:spacing w:before="0" w:after="0" w:line="240"/>
        <w:ind w:right="0" w:left="0" w:firstLine="0"/>
        <w:jc w:val="left"/>
        <w:rPr>
          <w:rFonts w:ascii="AdvGulliv-R" w:hAnsi="AdvGulliv-R" w:cs="AdvGulliv-R" w:eastAsia="AdvGulliv-R"/>
          <w:color w:val="auto"/>
          <w:spacing w:val="0"/>
          <w:position w:val="0"/>
          <w:sz w:val="28"/>
          <w:shd w:fill="auto" w:val="clear"/>
        </w:rPr>
      </w:pPr>
      <w:r>
        <w:rPr>
          <w:rFonts w:ascii="AdvGulliv-R" w:hAnsi="AdvGulliv-R" w:cs="AdvGulliv-R" w:eastAsia="AdvGulliv-R"/>
          <w:color w:val="auto"/>
          <w:spacing w:val="0"/>
          <w:position w:val="0"/>
          <w:sz w:val="28"/>
          <w:shd w:fill="auto" w:val="clear"/>
        </w:rPr>
        <w:t xml:space="preserve">phase, a small group of subject matter experts met weekly for</w:t>
      </w:r>
    </w:p>
    <w:p>
      <w:pPr>
        <w:spacing w:before="0" w:after="0" w:line="240"/>
        <w:ind w:right="0" w:left="0" w:firstLine="0"/>
        <w:jc w:val="left"/>
        <w:rPr>
          <w:rFonts w:ascii="AdvGulliv-R" w:hAnsi="AdvGulliv-R" w:cs="AdvGulliv-R" w:eastAsia="AdvGulliv-R"/>
          <w:color w:val="auto"/>
          <w:spacing w:val="0"/>
          <w:position w:val="0"/>
          <w:sz w:val="28"/>
          <w:shd w:fill="auto" w:val="clear"/>
        </w:rPr>
      </w:pPr>
      <w:r>
        <w:rPr>
          <w:rFonts w:ascii="AdvGulliv-R" w:hAnsi="AdvGulliv-R" w:cs="AdvGulliv-R" w:eastAsia="AdvGulliv-R"/>
          <w:color w:val="auto"/>
          <w:spacing w:val="0"/>
          <w:position w:val="0"/>
          <w:sz w:val="28"/>
          <w:shd w:fill="auto" w:val="clear"/>
        </w:rPr>
        <w:t xml:space="preserve">one month and exchanged frequent e-mail communication to create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AdvGulliv-R" w:hAnsi="AdvGulliv-R" w:cs="AdvGulliv-R" w:eastAsia="AdvGulliv-R"/>
          <w:color w:val="auto"/>
          <w:spacing w:val="0"/>
          <w:position w:val="0"/>
          <w:sz w:val="28"/>
          <w:shd w:fill="auto" w:val="clear"/>
        </w:rPr>
        <w:t xml:space="preserve">draft dashboard visualizations</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object w:dxaOrig="8747" w:dyaOrig="6459">
          <v:rect xmlns:o="urn:schemas-microsoft-com:office:office" xmlns:v="urn:schemas-microsoft-com:vml" id="rectole0000000008" style="width:437.350000pt;height:322.9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0" w:line="240"/>
        <w:ind w:right="0" w:left="0" w:firstLine="0"/>
        <w:jc w:val="left"/>
        <w:rPr>
          <w:rFonts w:ascii="Calibri" w:hAnsi="Calibri" w:cs="Calibri" w:eastAsia="Calibri"/>
          <w:color w:val="auto"/>
          <w:spacing w:val="0"/>
          <w:position w:val="0"/>
          <w:sz w:val="36"/>
          <w:shd w:fill="auto" w:val="clear"/>
        </w:rPr>
      </w:pPr>
      <w:r>
        <w:object w:dxaOrig="7714" w:dyaOrig="5892">
          <v:rect xmlns:o="urn:schemas-microsoft-com:office:office" xmlns:v="urn:schemas-microsoft-com:vml" id="rectole0000000009" style="width:385.700000pt;height:294.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0" w:line="240"/>
        <w:ind w:right="0" w:left="0" w:firstLine="0"/>
        <w:jc w:val="left"/>
        <w:rPr>
          <w:rFonts w:ascii="Calibri" w:hAnsi="Calibri" w:cs="Calibri" w:eastAsia="Calibri"/>
          <w:color w:val="auto"/>
          <w:spacing w:val="0"/>
          <w:position w:val="0"/>
          <w:sz w:val="36"/>
          <w:shd w:fill="auto" w:val="clear"/>
        </w:rPr>
      </w:pPr>
      <w:r>
        <w:object w:dxaOrig="4130" w:dyaOrig="3503">
          <v:rect xmlns:o="urn:schemas-microsoft-com:office:office" xmlns:v="urn:schemas-microsoft-com:vml" id="rectole0000000010" style="width:206.500000pt;height:175.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52"/>
          <w:u w:val="single"/>
          <w:shd w:fill="auto" w:val="clear"/>
        </w:rPr>
        <w:t xml:space="preserve">Engineering Features:</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Rationale: Defining a reliable prognostication method in patients with COVID-19 has remained a challenge. Various combinations of inflammatory markers,</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including CRP, LDH, and D-dimer, have been predictive of increased severity in this group of patients. None of the markers mentioned, however, have had a</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significant association with increased mortality. Machine learning has been utilized for predictions related to COVID-19. Prior COVID-19 machine learning models</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used the original features as the input, but we hypothesize that the model can be improved via synthesis of new features by utilizing feature engineering. We</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aim to explore the predictive capacities of generated features and evaluate for improvements in COVID-19 mortality prediction. Methods: With the approval of</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the hospital Institutional Review Board, medical records of two hundred sixty-nine patients with a positive COVID-19 PCR study in two 350-bed medical centers</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were analyzed retrospectively from March 22nd through May 10th, 2020. One hundred sixty-six variables, including laboratory studies, vital signs,</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demographics, and comorbidities, were collected in total. Features with greater than 50 percent missing values were dropped. Missing data was imputed with</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SKlearn Multiple Imputation. Feature selection was performed using sequential feature selection via the machine learning extensions library (MLxtend), which led</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to a final feature space of seven. Feature engineering was performed using the seven features and four additional features generated. LightGBM was chosen as</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our classification model. The results were compared between the feature engineering and base datasets. Feature ranking was performed using SHapley Additive</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exPlanations (SHAP). Partial dependence plots were generated to determine feature value cutoffs that predict increased mortality. Results: LightGBM</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demonstrated good classification performance with an Area Under the Curve (AUC) of .9 in the base model. The feature engineering group had an increase in</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AUC to .94. The feature most predictive of COVID-19 mortality based upon the SHAP plot was the product of Maximum Blood Urea Nitrogen and Maximum</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Respiratory Rate (MaxBUN*MaxRR). The partial dependence plot demonstrates that at a MaxBUN*MaxRR value &gt; 1000 there is a rise in SHAP values which</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denotes a rise in predicted mortality. Conclusion: The use of feature engineering improved predictive performance for mortality related to COVID-19. The</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strongest feature for the prediction of mortality was MaxBUN*MaxRR. A sharp rise in predicted mortality was observed when the product of these values</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exceeded 1000. Feature engineering can be used to improve existing mortality prediction models.</w:t>
      </w:r>
    </w:p>
    <w:p>
      <w:pPr>
        <w:spacing w:before="0" w:after="0" w:line="240"/>
        <w:ind w:right="0" w:left="0" w:firstLine="0"/>
        <w:jc w:val="left"/>
        <w:rPr>
          <w:rFonts w:ascii="DejaVuSans" w:hAnsi="DejaVuSans" w:cs="DejaVuSans" w:eastAsia="DejaVuSans"/>
          <w:color w:val="auto"/>
          <w:spacing w:val="0"/>
          <w:position w:val="0"/>
          <w:sz w:val="32"/>
          <w:shd w:fill="auto" w:val="clear"/>
        </w:rPr>
      </w:pPr>
    </w:p>
    <w:p>
      <w:pPr>
        <w:spacing w:before="0" w:after="0" w:line="240"/>
        <w:ind w:right="0" w:left="0" w:firstLine="0"/>
        <w:jc w:val="left"/>
        <w:rPr>
          <w:rFonts w:ascii="DejaVuSans" w:hAnsi="DejaVuSans" w:cs="DejaVuSans" w:eastAsia="DejaVuSans"/>
          <w:color w:val="auto"/>
          <w:spacing w:val="0"/>
          <w:position w:val="0"/>
          <w:sz w:val="32"/>
          <w:shd w:fill="auto" w:val="clear"/>
        </w:rPr>
      </w:pPr>
      <w:r>
        <w:object w:dxaOrig="8747" w:dyaOrig="2773">
          <v:rect xmlns:o="urn:schemas-microsoft-com:office:office" xmlns:v="urn:schemas-microsoft-com:vml" id="rectole0000000011" style="width:437.350000pt;height:138.6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48"/>
          <w:u w:val="single"/>
          <w:shd w:fill="auto" w:val="clear"/>
        </w:rPr>
        <w:t xml:space="preserve">Data Visualization:</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      It is possible to define data visualization as the process of</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putting information into a visual context, such as a map or</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graph, to make it simpler for the human brain to comprehend</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and draw conclusions from the data . The main goal of data</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visualization is to make it easier to identify patterns, trends, and</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outliers in large data sets. Therefore, data analysts and</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researchers can follow several pieces of advice to create</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exquisite yet knowledgeable visual objects. The use of color</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should be carefully strategized to deliver the key findings.</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Most data should be in neutral colors like grey. It is best to avoid</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using rainbows and vivid colors in constructing visual objects.</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Bright colors should be reserved to direct attention to</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significant or atypical data points. The author also advised to</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use the color when they should, not when they can.</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Another key point of a good data visualization is the</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excellent choice of the visual objects. For example, the</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horizontal bar chart is used when graphing nominal or</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categorical variables. Moreover, a horizontal bar chart</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is a better choice for long category names because more space</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on the left-hand side. In contrast, the vertical bar chart is</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suitable for numerical such as ordinal and sequential data .</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In a vertical bar chart, labels might overlap, and would need to</w:t>
      </w:r>
    </w:p>
    <w:p>
      <w:pPr>
        <w:spacing w:before="0" w:after="0" w:line="240"/>
        <w:ind w:right="0" w:left="0" w:firstLine="0"/>
        <w:jc w:val="left"/>
        <w:rPr>
          <w:rFonts w:ascii="DejaVuSans" w:hAnsi="DejaVuSans" w:cs="DejaVuSans" w:eastAsia="DejaVuSans"/>
          <w:color w:val="auto"/>
          <w:spacing w:val="0"/>
          <w:position w:val="0"/>
          <w:sz w:val="32"/>
          <w:shd w:fill="auto" w:val="clear"/>
        </w:rPr>
      </w:pPr>
      <w:r>
        <w:rPr>
          <w:rFonts w:ascii="DejaVuSans" w:hAnsi="DejaVuSans" w:cs="DejaVuSans" w:eastAsia="DejaVuSans"/>
          <w:color w:val="auto"/>
          <w:spacing w:val="0"/>
          <w:position w:val="0"/>
          <w:sz w:val="32"/>
          <w:shd w:fill="auto" w:val="clear"/>
        </w:rPr>
        <w:t xml:space="preserve">be rotated or shifted to be readable.</w:t>
      </w:r>
    </w:p>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TimesNewRoman" w:hAnsi="TimesNewRoman" w:cs="TimesNewRoman" w:eastAsia="TimesNewRoman"/>
          <w:color w:val="auto"/>
          <w:spacing w:val="0"/>
          <w:position w:val="0"/>
          <w:sz w:val="32"/>
          <w:shd w:fill="auto" w:val="clear"/>
        </w:rPr>
      </w:pPr>
      <w:r>
        <w:rPr>
          <w:rFonts w:ascii="TimesNewRoman" w:hAnsi="TimesNewRoman" w:cs="TimesNewRoman" w:eastAsia="TimesNewRoman"/>
          <w:color w:val="auto"/>
          <w:spacing w:val="0"/>
          <w:position w:val="0"/>
          <w:sz w:val="32"/>
          <w:shd w:fill="auto" w:val="clear"/>
        </w:rPr>
        <w:t xml:space="preserve">There are four possible issues are identified for data</w:t>
      </w:r>
    </w:p>
    <w:p>
      <w:pPr>
        <w:spacing w:before="0" w:after="0" w:line="240"/>
        <w:ind w:right="0" w:left="0" w:firstLine="0"/>
        <w:jc w:val="left"/>
        <w:rPr>
          <w:rFonts w:ascii="TimesNewRoman" w:hAnsi="TimesNewRoman" w:cs="TimesNewRoman" w:eastAsia="TimesNewRoman"/>
          <w:color w:val="auto"/>
          <w:spacing w:val="0"/>
          <w:position w:val="0"/>
          <w:sz w:val="32"/>
          <w:shd w:fill="auto" w:val="clear"/>
        </w:rPr>
      </w:pPr>
      <w:r>
        <w:rPr>
          <w:rFonts w:ascii="TimesNewRoman" w:hAnsi="TimesNewRoman" w:cs="TimesNewRoman" w:eastAsia="TimesNewRoman"/>
          <w:color w:val="auto"/>
          <w:spacing w:val="0"/>
          <w:position w:val="0"/>
          <w:sz w:val="32"/>
          <w:shd w:fill="auto" w:val="clear"/>
        </w:rPr>
        <w:t xml:space="preserve">visualization for the dataset. The issues are mis choice of color,</w:t>
      </w:r>
    </w:p>
    <w:p>
      <w:pPr>
        <w:spacing w:before="0" w:after="0" w:line="240"/>
        <w:ind w:right="0" w:left="0" w:firstLine="0"/>
        <w:jc w:val="left"/>
        <w:rPr>
          <w:rFonts w:ascii="TimesNewRoman" w:hAnsi="TimesNewRoman" w:cs="TimesNewRoman" w:eastAsia="TimesNewRoman"/>
          <w:color w:val="auto"/>
          <w:spacing w:val="0"/>
          <w:position w:val="0"/>
          <w:sz w:val="32"/>
          <w:shd w:fill="auto" w:val="clear"/>
        </w:rPr>
      </w:pPr>
      <w:r>
        <w:rPr>
          <w:rFonts w:ascii="TimesNewRoman" w:hAnsi="TimesNewRoman" w:cs="TimesNewRoman" w:eastAsia="TimesNewRoman"/>
          <w:color w:val="auto"/>
          <w:spacing w:val="0"/>
          <w:position w:val="0"/>
          <w:sz w:val="32"/>
          <w:shd w:fill="auto" w:val="clear"/>
        </w:rPr>
        <w:t xml:space="preserve">choosing the wrong visual object, non-interactive chart, and data</w:t>
      </w:r>
    </w:p>
    <w:p>
      <w:pPr>
        <w:spacing w:before="0" w:after="0" w:line="240"/>
        <w:ind w:right="0" w:left="0" w:firstLine="0"/>
        <w:jc w:val="left"/>
        <w:rPr>
          <w:rFonts w:ascii="TimesNewRoman" w:hAnsi="TimesNewRoman" w:cs="TimesNewRoman" w:eastAsia="TimesNewRoman"/>
          <w:color w:val="auto"/>
          <w:spacing w:val="0"/>
          <w:position w:val="0"/>
          <w:sz w:val="32"/>
          <w:shd w:fill="auto" w:val="clear"/>
        </w:rPr>
      </w:pPr>
      <w:r>
        <w:rPr>
          <w:rFonts w:ascii="TimesNewRoman" w:hAnsi="TimesNewRoman" w:cs="TimesNewRoman" w:eastAsia="TimesNewRoman"/>
          <w:color w:val="auto"/>
          <w:spacing w:val="0"/>
          <w:position w:val="0"/>
          <w:sz w:val="32"/>
          <w:shd w:fill="auto" w:val="clear"/>
        </w:rPr>
        <w:t xml:space="preserve">plotting. In the next subsections, more detailed explanation on</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TimesNewRoman" w:hAnsi="TimesNewRoman" w:cs="TimesNewRoman" w:eastAsia="TimesNewRoman"/>
          <w:color w:val="auto"/>
          <w:spacing w:val="0"/>
          <w:position w:val="0"/>
          <w:sz w:val="32"/>
          <w:shd w:fill="auto" w:val="clear"/>
        </w:rPr>
        <w:t xml:space="preserve">each issue would be discussed.</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object w:dxaOrig="8058" w:dyaOrig="7107">
          <v:rect xmlns:o="urn:schemas-microsoft-com:office:office" xmlns:v="urn:schemas-microsoft-com:vml" id="rectole0000000012" style="width:402.900000pt;height:355.3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r>
        <w:rPr>
          <w:rFonts w:ascii="TimesNewRoman" w:hAnsi="TimesNewRoman" w:cs="TimesNewRoman" w:eastAsia="TimesNewRoman"/>
          <w:b/>
          <w:color w:val="auto"/>
          <w:spacing w:val="0"/>
          <w:position w:val="0"/>
          <w:sz w:val="44"/>
          <w:u w:val="single"/>
          <w:shd w:fill="auto" w:val="clear"/>
        </w:rPr>
        <w:t xml:space="preserve">Functionality of different visual objects:</w:t>
      </w:r>
    </w:p>
    <w:p>
      <w:pPr>
        <w:spacing w:before="0" w:after="0" w:line="240"/>
        <w:ind w:right="0" w:left="0" w:firstLine="0"/>
        <w:jc w:val="left"/>
        <w:rPr>
          <w:rFonts w:ascii="Calibri" w:hAnsi="Calibri" w:cs="Calibri" w:eastAsia="Calibri"/>
          <w:color w:val="auto"/>
          <w:spacing w:val="0"/>
          <w:position w:val="0"/>
          <w:sz w:val="36"/>
          <w:shd w:fill="auto" w:val="clear"/>
        </w:rPr>
      </w:pPr>
      <w:r>
        <w:object w:dxaOrig="8422" w:dyaOrig="6722">
          <v:rect xmlns:o="urn:schemas-microsoft-com:office:office" xmlns:v="urn:schemas-microsoft-com:vml" id="rectole0000000013" style="width:421.100000pt;height:336.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3" ShapeID="rectole0000000013" r:id="docRId27"/>
        </w:objec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Example of non-interactive dashboard:</w:t>
      </w:r>
    </w:p>
    <w:p>
      <w:pPr>
        <w:spacing w:before="0" w:after="0" w:line="240"/>
        <w:ind w:right="0" w:left="0" w:firstLine="0"/>
        <w:jc w:val="left"/>
        <w:rPr>
          <w:rFonts w:ascii="Calibri" w:hAnsi="Calibri" w:cs="Calibri" w:eastAsia="Calibri"/>
          <w:color w:val="auto"/>
          <w:spacing w:val="0"/>
          <w:position w:val="0"/>
          <w:sz w:val="36"/>
          <w:shd w:fill="auto" w:val="clear"/>
        </w:rPr>
      </w:pPr>
      <w:r>
        <w:object w:dxaOrig="8159" w:dyaOrig="5000">
          <v:rect xmlns:o="urn:schemas-microsoft-com:office:office" xmlns:v="urn:schemas-microsoft-com:vml" id="rectole0000000014" style="width:407.950000pt;height:250.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4" ShapeID="rectole0000000014" r:id="docRId29"/>
        </w:objec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TimesNewRoman" w:hAnsi="TimesNewRoman" w:cs="TimesNewRoman" w:eastAsia="TimesNewRoman"/>
          <w:color w:val="auto"/>
          <w:spacing w:val="0"/>
          <w:position w:val="0"/>
          <w:sz w:val="40"/>
          <w:shd w:fill="auto" w:val="clear"/>
        </w:rPr>
        <w:t xml:space="preserve">This chart contains too many data plotted on it</w:t>
      </w:r>
    </w:p>
    <w:p>
      <w:pPr>
        <w:spacing w:before="0" w:after="0" w:line="240"/>
        <w:ind w:right="0" w:left="0" w:firstLine="0"/>
        <w:jc w:val="left"/>
        <w:rPr>
          <w:rFonts w:ascii="Calibri" w:hAnsi="Calibri" w:cs="Calibri" w:eastAsia="Calibri"/>
          <w:color w:val="auto"/>
          <w:spacing w:val="0"/>
          <w:position w:val="0"/>
          <w:sz w:val="36"/>
          <w:shd w:fill="auto" w:val="clear"/>
        </w:rPr>
      </w:pPr>
      <w:r>
        <w:object w:dxaOrig="8159" w:dyaOrig="6621">
          <v:rect xmlns:o="urn:schemas-microsoft-com:office:office" xmlns:v="urn:schemas-microsoft-com:vml" id="rectole0000000015" style="width:407.950000pt;height:331.0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5" ShapeID="rectole0000000015" r:id="docRId31"/>
        </w:object>
      </w:r>
    </w:p>
    <w:p>
      <w:pPr>
        <w:spacing w:before="0" w:after="0" w:line="240"/>
        <w:ind w:right="0" w:left="0" w:firstLine="0"/>
        <w:jc w:val="left"/>
        <w:rPr>
          <w:rFonts w:ascii="Calibri" w:hAnsi="Calibri" w:cs="Calibri" w:eastAsia="Calibri"/>
          <w:color w:val="auto"/>
          <w:spacing w:val="0"/>
          <w:position w:val="0"/>
          <w:sz w:val="36"/>
          <w:shd w:fill="auto" w:val="clear"/>
        </w:rPr>
      </w:pPr>
      <w:r>
        <w:rPr>
          <w:rFonts w:ascii="TimesNewRoman" w:hAnsi="TimesNewRoman" w:cs="TimesNewRoman" w:eastAsia="TimesNewRoman"/>
          <w:color w:val="auto"/>
          <w:spacing w:val="0"/>
          <w:position w:val="0"/>
          <w:sz w:val="32"/>
          <w:shd w:fill="auto" w:val="clear"/>
        </w:rPr>
        <w:t xml:space="preserve">Example of interactive dashboard with a filter option</w:t>
      </w:r>
    </w:p>
    <w:p>
      <w:pPr>
        <w:spacing w:before="0" w:after="0" w:line="240"/>
        <w:ind w:right="0" w:left="0" w:firstLine="0"/>
        <w:jc w:val="left"/>
        <w:rPr>
          <w:rFonts w:ascii="Calibri" w:hAnsi="Calibri" w:cs="Calibri" w:eastAsia="Calibri"/>
          <w:color w:val="auto"/>
          <w:spacing w:val="0"/>
          <w:position w:val="0"/>
          <w:sz w:val="36"/>
          <w:shd w:fill="auto" w:val="clear"/>
        </w:rPr>
      </w:pPr>
      <w:r>
        <w:object w:dxaOrig="8483" w:dyaOrig="4596">
          <v:rect xmlns:o="urn:schemas-microsoft-com:office:office" xmlns:v="urn:schemas-microsoft-com:vml" id="rectole0000000016" style="width:424.150000pt;height:229.8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6" ShapeID="rectole0000000016" r:id="docRId33"/>
        </w:object>
      </w:r>
    </w:p>
    <w:p>
      <w:pPr>
        <w:spacing w:before="0" w:after="0" w:line="240"/>
        <w:ind w:right="0" w:left="0" w:firstLine="0"/>
        <w:jc w:val="left"/>
        <w:rPr>
          <w:rFonts w:ascii="TimesNewRoman" w:hAnsi="TimesNewRoman" w:cs="TimesNewRoman" w:eastAsia="TimesNewRoman"/>
          <w:color w:val="auto"/>
          <w:spacing w:val="0"/>
          <w:position w:val="0"/>
          <w:sz w:val="20"/>
          <w:shd w:fill="auto" w:val="clear"/>
        </w:rPr>
      </w:pPr>
    </w:p>
    <w:p>
      <w:pPr>
        <w:spacing w:before="0" w:after="0" w:line="240"/>
        <w:ind w:right="0" w:left="0" w:firstLine="0"/>
        <w:jc w:val="left"/>
        <w:rPr>
          <w:rFonts w:ascii="TimesNewRoman" w:hAnsi="TimesNewRoman" w:cs="TimesNewRoman" w:eastAsia="TimesNewRoman"/>
          <w:color w:val="auto"/>
          <w:spacing w:val="0"/>
          <w:position w:val="0"/>
          <w:sz w:val="20"/>
          <w:shd w:fill="auto" w:val="clear"/>
        </w:rPr>
      </w:pPr>
      <w:r>
        <w:rPr>
          <w:rFonts w:ascii="TimesNewRoman" w:hAnsi="TimesNewRoman" w:cs="TimesNewRoman" w:eastAsia="TimesNewRoman"/>
          <w:color w:val="auto"/>
          <w:spacing w:val="0"/>
          <w:position w:val="0"/>
          <w:sz w:val="20"/>
          <w:shd w:fill="auto" w:val="clear"/>
        </w:rPr>
        <w:t xml:space="preserve"> </w:t>
      </w:r>
      <w:r>
        <w:rPr>
          <w:rFonts w:ascii="TimesNewRoman" w:hAnsi="TimesNewRoman" w:cs="TimesNewRoman" w:eastAsia="TimesNewRoman"/>
          <w:b/>
          <w:color w:val="auto"/>
          <w:spacing w:val="0"/>
          <w:position w:val="0"/>
          <w:sz w:val="48"/>
          <w:u w:val="single"/>
          <w:shd w:fill="auto" w:val="clear"/>
        </w:rPr>
        <w:t xml:space="preserve">Conclusion:</w:t>
      </w:r>
    </w:p>
    <w:p>
      <w:pPr>
        <w:spacing w:before="0" w:after="0" w:line="240"/>
        <w:ind w:right="0" w:left="0" w:firstLine="0"/>
        <w:jc w:val="left"/>
        <w:rPr>
          <w:rFonts w:ascii="TimesNewRoman" w:hAnsi="TimesNewRoman" w:cs="TimesNewRoman" w:eastAsia="TimesNewRoman"/>
          <w:color w:val="auto"/>
          <w:spacing w:val="0"/>
          <w:position w:val="0"/>
          <w:sz w:val="32"/>
          <w:shd w:fill="auto" w:val="clear"/>
        </w:rPr>
      </w:pPr>
      <w:r>
        <w:rPr>
          <w:rFonts w:ascii="TimesNewRoman" w:hAnsi="TimesNewRoman" w:cs="TimesNewRoman" w:eastAsia="TimesNewRoman"/>
          <w:color w:val="auto"/>
          <w:spacing w:val="0"/>
          <w:position w:val="0"/>
          <w:sz w:val="20"/>
          <w:shd w:fill="auto" w:val="clear"/>
        </w:rPr>
        <w:t xml:space="preserve">    </w:t>
      </w:r>
      <w:r>
        <w:rPr>
          <w:rFonts w:ascii="TimesNewRoman" w:hAnsi="TimesNewRoman" w:cs="TimesNewRoman" w:eastAsia="TimesNewRoman"/>
          <w:color w:val="auto"/>
          <w:spacing w:val="0"/>
          <w:position w:val="0"/>
          <w:sz w:val="32"/>
          <w:shd w:fill="auto" w:val="clear"/>
        </w:rPr>
        <w:t xml:space="preserve">There are four issues that are highlighted in data visualizationfor related to COVID-19 Vaccination datasets, which are issueson the selection of colors, the selection of charts, theinteractivity of the visual objects and dashboard, and thehandling overloaded of information in data visualization. In this study, those issues have been addressed and discussed. Then,this study proposes that alternative solutions to handle thoseissues. This issue may be related to the knowledge of the dataanalyst, or the tools used. However, since the functionality ofthe visualization tools such as Tableau and Power BI are quitesimilar and have their own pros and cons, it is ambiguous topinpoint the specific functionality of the tools to relate to thesolution based on the problem. Nevertheless, as important as </w:t>
      </w:r>
      <w:r>
        <w:rPr>
          <w:rFonts w:ascii="TimesNewRoman" w:hAnsi="TimesNewRoman" w:cs="TimesNewRoman" w:eastAsia="TimesNewRoman"/>
          <w:color w:val="auto"/>
          <w:spacing w:val="0"/>
          <w:position w:val="0"/>
          <w:sz w:val="28"/>
          <w:shd w:fill="auto" w:val="clear"/>
        </w:rPr>
        <w:t xml:space="preserve">data visualization is to further understand the data trends, it is </w:t>
      </w:r>
      <w:r>
        <w:rPr>
          <w:rFonts w:ascii="TimesNewRoman" w:hAnsi="TimesNewRoman" w:cs="TimesNewRoman" w:eastAsia="TimesNewRoman"/>
          <w:color w:val="auto"/>
          <w:spacing w:val="0"/>
          <w:position w:val="0"/>
          <w:sz w:val="32"/>
          <w:shd w:fill="auto" w:val="clear"/>
        </w:rPr>
        <w:t xml:space="preserve">also very critical to understand the method of applying it correctly. The failure to do so may affect the dashboard appeal and the storytelling to the audience. A good dashboard and storyboard must apply a good color choice on the visual object,use a proper chart to represent the data, have a good amount of interactivity, and proper plan which information to be placed to avoid overcrowding the storyboard. Therefore, this case study’s</w:t>
      </w:r>
    </w:p>
    <w:p>
      <w:pPr>
        <w:spacing w:before="0" w:after="0" w:line="240"/>
        <w:ind w:right="0" w:left="0" w:firstLine="0"/>
        <w:jc w:val="left"/>
        <w:rPr>
          <w:rFonts w:ascii="Calibri" w:hAnsi="Calibri" w:cs="Calibri" w:eastAsia="Calibri"/>
          <w:color w:val="auto"/>
          <w:spacing w:val="0"/>
          <w:position w:val="0"/>
          <w:sz w:val="32"/>
          <w:shd w:fill="auto" w:val="clear"/>
        </w:rPr>
      </w:pPr>
      <w:r>
        <w:rPr>
          <w:rFonts w:ascii="TimesNewRoman" w:hAnsi="TimesNewRoman" w:cs="TimesNewRoman" w:eastAsia="TimesNewRoman"/>
          <w:color w:val="auto"/>
          <w:spacing w:val="0"/>
          <w:position w:val="0"/>
          <w:sz w:val="32"/>
          <w:shd w:fill="auto" w:val="clear"/>
        </w:rPr>
        <w:t xml:space="preserve">aim is to address these issues and to lay out the solutions that have been achieved.</w:t>
      </w: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Mode="External" Target="https://www.kaggle.com/code/terencemao/covid-vaccination-rates/data"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s>
</file>