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sz w:val="20"/>
          <w:szCs w:val="20"/>
        </w:rPr>
        <w:t xml:space="preserve"/>
      </w:r>
    </w:p>
    <w:p>
      <w:pPr>
        <w:spacing w:after="120" w:before="0"/>
        <w:jc w:val="center"/>
      </w:pPr>
      <w:r>
        <w:rPr>
          <w:rFonts w:ascii="Arial" w:cs="Arial" w:eastAsia="Arial" w:hAnsi="Arial"/>
          <w:b/>
          <w:bCs/>
          <w:color w:val="1565C0"/>
          <w:sz w:val="52"/>
          <w:szCs w:val="52"/>
        </w:rPr>
        <w:t xml:space="preserve">DEPOSITS ATTRITION INTELLIGENCE</w:t>
      </w:r>
    </w:p>
    <w:p>
      <w:pPr>
        <w:pBdr>
          <w:bottom w:val="single" w:color="1565C0" w:sz="8" w:space="8"/>
        </w:pBdr>
        <w:spacing w:after="480" w:before="0"/>
        <w:jc w:val="center"/>
      </w:pPr>
      <w:r>
        <w:rPr>
          <w:rFonts w:ascii="Arial" w:cs="Arial" w:eastAsia="Arial" w:hAnsi="Arial"/>
          <w:color w:val="444444"/>
          <w:sz w:val="36"/>
          <w:szCs w:val="36"/>
        </w:rPr>
        <w:t xml:space="preserve">Function Specification</w:t>
      </w:r>
    </w:p>
    <w:p>
      <w:pPr>
        <w:spacing w:after="0" w:before="0"/>
      </w:pPr>
      <w:r>
        <w:rPr>
          <w:rFonts w:ascii="Arial" w:cs="Arial" w:eastAsia="Arial" w:hAnsi="Arial"/>
          <w:sz w:val="20"/>
          <w:szCs w:val="20"/>
        </w:rPr>
        <w:t xml:space="preserve"/>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tcPr>
          <w:p>
            <w:r>
              <w:rPr>
                <w:rFonts w:ascii="Arial" w:cs="Arial" w:eastAsia="Arial" w:hAnsi="Arial"/>
                <w:b/>
                <w:bCs/>
                <w:color w:val="000000"/>
                <w:sz w:val="20"/>
                <w:szCs w:val="20"/>
              </w:rPr>
              <w:t xml:space="preserve">Document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30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2026</w:t>
            </w:r>
          </w:p>
        </w:tc>
      </w:tr>
      <w:tr>
        <w:tc>
          <w:tcPr>
            <w:tcW w:type="dxa" w:w="30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w:t>
            </w:r>
          </w:p>
        </w:tc>
      </w:tr>
      <w:tr>
        <w:tc>
          <w:tcPr>
            <w:tcW w:type="dxa" w:w="30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tcPr>
          <w:p>
            <w:r>
              <w:rPr>
                <w:rFonts w:ascii="Arial" w:cs="Arial" w:eastAsia="Arial" w:hAnsi="Arial"/>
                <w:b/>
                <w:bCs/>
                <w:color w:val="000000"/>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Use Only</w:t>
            </w:r>
          </w:p>
        </w:tc>
      </w:tr>
      <w:tr>
        <w:tc>
          <w:tcPr>
            <w:tcW w:type="dxa" w:w="30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tcPr>
          <w:p>
            <w:r>
              <w:rPr>
                <w:rFonts w:ascii="Arial" w:cs="Arial" w:eastAsia="Arial" w:hAnsi="Arial"/>
                <w:b/>
                <w:bCs/>
                <w:color w:val="000000"/>
                <w:sz w:val="20"/>
                <w:szCs w:val="20"/>
              </w:rPr>
              <w:t xml:space="preserve">Product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Deposits Attrition Intelligence Dashboard</w:t>
            </w:r>
          </w:p>
        </w:tc>
      </w:tr>
    </w:tbl>
    <w:p>
      <w:pPr>
        <w:spacing w:after="0" w:before="0"/>
      </w:pPr>
      <w:r>
        <w:rPr>
          <w:rFonts w:ascii="Arial" w:cs="Arial" w:eastAsia="Arial" w:hAnsi="Arial"/>
          <w:sz w:val="20"/>
          <w:szCs w:val="20"/>
        </w:rPr>
        <w:t xml:space="preserve"/>
      </w:r>
    </w:p>
    <w:p>
      <w:pPr>
        <w:spacing w:after="0" w:before="0"/>
      </w:pPr>
      <w:r>
        <w:rPr>
          <w:rFonts w:ascii="Arial" w:cs="Arial" w:eastAsia="Arial" w:hAnsi="Arial"/>
          <w:sz w:val="20"/>
          <w:szCs w:val="20"/>
        </w:rPr>
        <w:t xml:space="preserve"/>
      </w:r>
    </w:p>
    <w:p>
      <w:r>
        <w:br w:type="page"/>
      </w:r>
    </w:p>
    <w:p>
      <w:pPr>
        <w:pStyle w:val="Heading1"/>
        <w:pBdr>
          <w:bottom w:val="single" w:color="1565C0" w:sz="6" w:space="4"/>
        </w:pBdr>
        <w:spacing w:after="120" w:before="300"/>
      </w:pPr>
      <w:r>
        <w:rPr>
          <w:rFonts w:ascii="Arial" w:cs="Arial" w:eastAsia="Arial" w:hAnsi="Arial"/>
          <w:b/>
          <w:bCs/>
          <w:color w:val="1565C0"/>
          <w:sz w:val="36"/>
          <w:szCs w:val="36"/>
        </w:rPr>
        <w:t xml:space="preserve">1. Purpose and Scope</w:t>
      </w:r>
    </w:p>
    <w:p>
      <w:pPr>
        <w:spacing w:after="60" w:before="60"/>
      </w:pPr>
      <w:r>
        <w:rPr>
          <w:rFonts w:ascii="Arial" w:cs="Arial" w:eastAsia="Arial" w:hAnsi="Arial"/>
          <w:b w:val="false"/>
          <w:bCs w:val="false"/>
          <w:color w:val="000000"/>
          <w:sz w:val="20"/>
          <w:szCs w:val="20"/>
        </w:rPr>
        <w:t xml:space="preserve">This document defines the functional requirements for the Deposits Attrition Intelligence dashboard — a Streamlit-based analytical application developed for an Omani bank. The system is designed to help branch managers and relationship managers identify active deposit customers who are exhibiting early warning signs of attrition, enabling proactive intervention before accounts are closed or funds moved to a competitor.</w:t>
      </w:r>
    </w:p>
    <w:p>
      <w:pPr>
        <w:spacing w:after="0" w:before="0"/>
      </w:pPr>
      <w:r>
        <w:rPr>
          <w:rFonts w:ascii="Arial" w:cs="Arial" w:eastAsia="Arial" w:hAnsi="Arial"/>
          <w:sz w:val="20"/>
          <w:szCs w:val="20"/>
        </w:rPr>
        <w:t xml:space="preserve"/>
      </w:r>
    </w:p>
    <w:p>
      <w:pPr>
        <w:spacing w:after="60" w:before="60"/>
      </w:pPr>
      <w:r>
        <w:rPr>
          <w:rFonts w:ascii="Arial" w:cs="Arial" w:eastAsia="Arial" w:hAnsi="Arial"/>
          <w:b w:val="false"/>
          <w:bCs w:val="false"/>
          <w:color w:val="000000"/>
          <w:sz w:val="20"/>
          <w:szCs w:val="20"/>
        </w:rPr>
        <w:t xml:space="preserve">The scope of this specification covers:</w:t>
      </w:r>
    </w:p>
    <w:p>
      <w:pPr>
        <w:pStyle w:val="ListParagraph"/>
        <w:numPr>
          <w:ilvl w:val="0"/>
          <w:numId w:val="2"/>
        </w:numPr>
        <w:spacing w:after="30" w:before="30"/>
      </w:pPr>
      <w:r>
        <w:rPr>
          <w:rFonts w:ascii="Arial" w:cs="Arial" w:eastAsia="Arial" w:hAnsi="Arial"/>
          <w:b w:val="false"/>
          <w:bCs w:val="false"/>
          <w:sz w:val="20"/>
          <w:szCs w:val="20"/>
        </w:rPr>
        <w:t xml:space="preserve">All six tabs of the dashboard: Overview, Churn Trends, Risk Analysis, Action List, Ask the Data, and Guide</w:t>
      </w:r>
    </w:p>
    <w:p>
      <w:pPr>
        <w:pStyle w:val="ListParagraph"/>
        <w:numPr>
          <w:ilvl w:val="0"/>
          <w:numId w:val="2"/>
        </w:numPr>
        <w:spacing w:after="30" w:before="30"/>
      </w:pPr>
      <w:r>
        <w:rPr>
          <w:rFonts w:ascii="Arial" w:cs="Arial" w:eastAsia="Arial" w:hAnsi="Arial"/>
          <w:b w:val="false"/>
          <w:bCs w:val="false"/>
          <w:sz w:val="20"/>
          <w:szCs w:val="20"/>
        </w:rPr>
        <w:t xml:space="preserve">The business rules governing customer status classification and risk level assignment</w:t>
      </w:r>
    </w:p>
    <w:p>
      <w:pPr>
        <w:pStyle w:val="ListParagraph"/>
        <w:numPr>
          <w:ilvl w:val="0"/>
          <w:numId w:val="2"/>
        </w:numPr>
        <w:spacing w:after="30" w:before="30"/>
      </w:pPr>
      <w:r>
        <w:rPr>
          <w:rFonts w:ascii="Arial" w:cs="Arial" w:eastAsia="Arial" w:hAnsi="Arial"/>
          <w:b w:val="false"/>
          <w:bCs w:val="false"/>
          <w:sz w:val="20"/>
          <w:szCs w:val="20"/>
        </w:rPr>
        <w:t xml:space="preserve">The seven risk signal definitions and their trigger conditions</w:t>
      </w:r>
    </w:p>
    <w:p>
      <w:pPr>
        <w:pStyle w:val="ListParagraph"/>
        <w:numPr>
          <w:ilvl w:val="0"/>
          <w:numId w:val="2"/>
        </w:numPr>
        <w:spacing w:after="30" w:before="30"/>
      </w:pPr>
      <w:r>
        <w:rPr>
          <w:rFonts w:ascii="Arial" w:cs="Arial" w:eastAsia="Arial" w:hAnsi="Arial"/>
          <w:b w:val="false"/>
          <w:bCs w:val="false"/>
          <w:sz w:val="20"/>
          <w:szCs w:val="20"/>
        </w:rPr>
        <w:t xml:space="preserve">The recommended workflow for daily, weekly, and monthly use</w:t>
      </w:r>
    </w:p>
    <w:p>
      <w:pPr>
        <w:pStyle w:val="ListParagraph"/>
        <w:numPr>
          <w:ilvl w:val="0"/>
          <w:numId w:val="2"/>
        </w:numPr>
        <w:spacing w:after="30" w:before="30"/>
      </w:pPr>
      <w:r>
        <w:rPr>
          <w:rFonts w:ascii="Arial" w:cs="Arial" w:eastAsia="Arial" w:hAnsi="Arial"/>
          <w:b w:val="false"/>
          <w:bCs w:val="false"/>
          <w:sz w:val="20"/>
          <w:szCs w:val="20"/>
        </w:rPr>
        <w:t xml:space="preserve">Data output requirements and export functionality</w:t>
      </w:r>
    </w:p>
    <w:p>
      <w:pPr>
        <w:spacing w:after="0" w:before="0"/>
      </w:pPr>
      <w:r>
        <w:rPr>
          <w:rFonts w:ascii="Arial" w:cs="Arial" w:eastAsia="Arial" w:hAnsi="Arial"/>
          <w:sz w:val="20"/>
          <w:szCs w:val="20"/>
        </w:rPr>
        <w:t xml:space="preserve"/>
      </w:r>
    </w:p>
    <w:p>
      <w:pPr>
        <w:spacing w:after="60" w:before="60"/>
      </w:pPr>
      <w:r>
        <w:rPr>
          <w:rFonts w:ascii="Arial" w:cs="Arial" w:eastAsia="Arial" w:hAnsi="Arial"/>
          <w:b w:val="false"/>
          <w:bCs w:val="false"/>
          <w:color w:val="000000"/>
          <w:sz w:val="20"/>
          <w:szCs w:val="20"/>
        </w:rPr>
        <w:t xml:space="preserve">Out of scope for this version: ML-based churn scoring, real-time data integration, CRM write-back, and mobile/responsive design.</w:t>
      </w:r>
    </w:p>
    <w:p>
      <w:pPr>
        <w:pStyle w:val="Heading1"/>
        <w:pBdr>
          <w:bottom w:val="single" w:color="1565C0" w:sz="6" w:space="4"/>
        </w:pBdr>
        <w:spacing w:after="120" w:before="300"/>
      </w:pPr>
      <w:r>
        <w:rPr>
          <w:rFonts w:ascii="Arial" w:cs="Arial" w:eastAsia="Arial" w:hAnsi="Arial"/>
          <w:b/>
          <w:bCs/>
          <w:color w:val="1565C0"/>
          <w:sz w:val="36"/>
          <w:szCs w:val="36"/>
        </w:rPr>
        <w:t xml:space="preserve">2. Stakeholders and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Typical User</w:t>
            </w:r>
          </w:p>
        </w:tc>
        <w:tc>
          <w:tcPr>
            <w:tcW w:type="dxa" w:w="4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Branch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Senior RM / Branch Head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Review Action List, assign calls to team, monitor KPIs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Relationship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RM / Customer Officer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Work through Action List, action customer calls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Area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Regional Head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 Review Churn Trends, compare branches, escalate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 / BI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Analyst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Risk Analysis deep-dives, ad-hoc queries via Ask the Data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IT / Developer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Systems Engineer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deployment, data pipeline updates</w:t>
            </w:r>
          </w:p>
        </w:tc>
      </w:tr>
    </w:tbl>
    <w:p>
      <w:pPr>
        <w:pStyle w:val="Heading1"/>
        <w:pBdr>
          <w:bottom w:val="single" w:color="1565C0" w:sz="6" w:space="4"/>
        </w:pBdr>
        <w:spacing w:after="120" w:before="300"/>
      </w:pPr>
      <w:r>
        <w:rPr>
          <w:rFonts w:ascii="Arial" w:cs="Arial" w:eastAsia="Arial" w:hAnsi="Arial"/>
          <w:b/>
          <w:bCs/>
          <w:color w:val="1565C0"/>
          <w:sz w:val="36"/>
          <w:szCs w:val="36"/>
        </w:rPr>
        <w:t xml:space="preserve">3. System Overview</w:t>
      </w:r>
    </w:p>
    <w:p>
      <w:pPr>
        <w:spacing w:after="60" w:before="60"/>
      </w:pPr>
      <w:r>
        <w:rPr>
          <w:rFonts w:ascii="Arial" w:cs="Arial" w:eastAsia="Arial" w:hAnsi="Arial"/>
          <w:b w:val="false"/>
          <w:bCs w:val="false"/>
          <w:color w:val="000000"/>
          <w:sz w:val="20"/>
          <w:szCs w:val="20"/>
        </w:rPr>
        <w:t xml:space="preserve">The dashboard is a multi-tab, single-page Streamlit application backed by a DuckDB database (local file) with a CSV fallback for cloud deployment. It operates on a customer-level dataset where each row represents one unique banking customer. The system does not write to any source system — it is read-only and analytical in nature.</w:t>
      </w:r>
    </w:p>
    <w:p>
      <w:pPr>
        <w:spacing w:after="0" w:before="0"/>
      </w:pPr>
      <w:r>
        <w:rPr>
          <w:rFonts w:ascii="Arial" w:cs="Arial" w:eastAsia="Arial" w:hAnsi="Arial"/>
          <w:sz w:val="20"/>
          <w:szCs w:val="20"/>
        </w:rPr>
        <w:t xml:space="preserve"/>
      </w:r>
    </w:p>
    <w:p>
      <w:pPr>
        <w:spacing w:after="60" w:before="60"/>
      </w:pPr>
      <w:r>
        <w:rPr>
          <w:rFonts w:ascii="Arial" w:cs="Arial" w:eastAsia="Arial" w:hAnsi="Arial"/>
          <w:b w:val="false"/>
          <w:bCs w:val="false"/>
          <w:color w:val="000000"/>
          <w:sz w:val="20"/>
          <w:szCs w:val="20"/>
        </w:rPr>
        <w:t xml:space="preserve">The application serves two analytical purposes:</w:t>
      </w:r>
    </w:p>
    <w:p>
      <w:pPr>
        <w:pStyle w:val="ListParagraph"/>
        <w:numPr>
          <w:ilvl w:val="0"/>
          <w:numId w:val="2"/>
        </w:numPr>
        <w:spacing w:after="30" w:before="30"/>
      </w:pPr>
      <w:r>
        <w:rPr>
          <w:rFonts w:ascii="Arial" w:cs="Arial" w:eastAsia="Arial" w:hAnsi="Arial"/>
          <w:b w:val="false"/>
          <w:bCs w:val="false"/>
          <w:sz w:val="20"/>
          <w:szCs w:val="20"/>
        </w:rPr>
        <w:t xml:space="preserve">Forward-looking retention: Identify Active and Inactive customers at risk of churning based on behavioural signals</w:t>
      </w:r>
    </w:p>
    <w:p>
      <w:pPr>
        <w:pStyle w:val="ListParagraph"/>
        <w:numPr>
          <w:ilvl w:val="0"/>
          <w:numId w:val="2"/>
        </w:numPr>
        <w:spacing w:after="30" w:before="30"/>
      </w:pPr>
      <w:r>
        <w:rPr>
          <w:rFonts w:ascii="Arial" w:cs="Arial" w:eastAsia="Arial" w:hAnsi="Arial"/>
          <w:b w:val="false"/>
          <w:bCs w:val="false"/>
          <w:sz w:val="20"/>
          <w:szCs w:val="20"/>
        </w:rPr>
        <w:t xml:space="preserve">Historical analysis: Track and analyse confirmed exits (Churned customers) to identify patterns over time</w:t>
      </w:r>
    </w:p>
    <w:p>
      <w:pPr>
        <w:pStyle w:val="Heading1"/>
        <w:pBdr>
          <w:bottom w:val="single" w:color="1565C0" w:sz="6" w:space="4"/>
        </w:pBdr>
        <w:spacing w:after="120" w:before="300"/>
      </w:pPr>
      <w:r>
        <w:rPr>
          <w:rFonts w:ascii="Arial" w:cs="Arial" w:eastAsia="Arial" w:hAnsi="Arial"/>
          <w:b/>
          <w:bCs/>
          <w:color w:val="1565C0"/>
          <w:sz w:val="36"/>
          <w:szCs w:val="36"/>
        </w:rPr>
        <w:t xml:space="preserve">4. Business Rules</w:t>
      </w:r>
    </w:p>
    <w:p>
      <w:pPr>
        <w:pStyle w:val="Heading2"/>
        <w:spacing w:after="80" w:before="240"/>
      </w:pPr>
      <w:r>
        <w:rPr>
          <w:rFonts w:ascii="Arial" w:cs="Arial" w:eastAsia="Arial" w:hAnsi="Arial"/>
          <w:b/>
          <w:bCs/>
          <w:color w:val="2C3E50"/>
          <w:sz w:val="28"/>
          <w:szCs w:val="28"/>
        </w:rPr>
        <w:t xml:space="preserve">4.1  Customer Status Classification</w:t>
      </w:r>
    </w:p>
    <w:p>
      <w:pPr>
        <w:spacing w:after="60" w:before="60"/>
      </w:pPr>
      <w:r>
        <w:rPr>
          <w:rFonts w:ascii="Arial" w:cs="Arial" w:eastAsia="Arial" w:hAnsi="Arial"/>
          <w:b w:val="false"/>
          <w:bCs w:val="false"/>
          <w:color w:val="000000"/>
          <w:sz w:val="20"/>
          <w:szCs w:val="20"/>
        </w:rPr>
        <w:t xml:space="preserve">Every customer in the system is assigned exactly one of three statuses, determined by transaction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5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days_since_txn &lt; 180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has made at least one transaction in the last 180 days. The relationship is alive and may still carry risk signals.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Inactive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180 &lt;= days_since_txn &lt; 366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customer-initiated transactions for 180 to 365 days. Account is still open. High urgency for outreach.</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Churned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account_closed = 1 OR days_since_txn &gt;= 366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explicitly closed or no transaction for 365+ days (dormant). These customers have already left. Dormant accounts are treated as Churned.</w:t>
            </w:r>
          </w:p>
        </w:tc>
      </w:tr>
    </w:tbl>
    <w:p>
      <w:pPr>
        <w:pStyle w:val="Heading2"/>
        <w:spacing w:after="80" w:before="240"/>
      </w:pPr>
      <w:r>
        <w:rPr>
          <w:rFonts w:ascii="Arial" w:cs="Arial" w:eastAsia="Arial" w:hAnsi="Arial"/>
          <w:b/>
          <w:bCs/>
          <w:color w:val="2C3E50"/>
          <w:sz w:val="28"/>
          <w:szCs w:val="28"/>
        </w:rPr>
        <w:t xml:space="preserve">4.2  Risk Level Classification</w:t>
      </w:r>
    </w:p>
    <w:p>
      <w:pPr>
        <w:spacing w:after="60" w:before="60"/>
      </w:pPr>
      <w:r>
        <w:rPr>
          <w:rFonts w:ascii="Arial" w:cs="Arial" w:eastAsia="Arial" w:hAnsi="Arial"/>
          <w:b w:val="false"/>
          <w:bCs w:val="false"/>
          <w:color w:val="000000"/>
          <w:sz w:val="20"/>
          <w:szCs w:val="20"/>
        </w:rPr>
        <w:t xml:space="preserve">Risk levels are assigned only to Active and Inactive customers, based on the count and type of risk signals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5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risk_signal_count &gt;= 3  OR  sig_salary_diverted =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 action required. Call customer within 24 hours. Salary diversion alone triggers High regardless of other signals.</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risk_signal_count =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 contact within the week. Two concurrent signals indicate meaningful disengagement.</w:t>
            </w:r>
          </w:p>
        </w:tc>
      </w:tr>
      <w:tr>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B7950B"/>
                <w:sz w:val="20"/>
                <w:szCs w:val="20"/>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risk_signal_count =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Single signal requires awareness but not immediate action.</w:t>
            </w:r>
          </w:p>
        </w:tc>
      </w:tr>
      <w:tr>
        <w:tc>
          <w:tcPr>
            <w:tcW w:type="dxa" w:w="14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27AE60"/>
                <w:sz w:val="20"/>
                <w:szCs w:val="20"/>
              </w:rPr>
              <w:t xml:space="preserve">Safe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risk_signal_count = 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signals present. Customer is engaged and stable.</w:t>
            </w:r>
          </w:p>
        </w:tc>
      </w:tr>
    </w:tbl>
    <w:p>
      <w:pPr>
        <w:pStyle w:val="Heading2"/>
        <w:spacing w:after="80" w:before="240"/>
      </w:pPr>
      <w:r>
        <w:rPr>
          <w:rFonts w:ascii="Arial" w:cs="Arial" w:eastAsia="Arial" w:hAnsi="Arial"/>
          <w:b/>
          <w:bCs/>
          <w:color w:val="2C3E50"/>
          <w:sz w:val="28"/>
          <w:szCs w:val="28"/>
        </w:rPr>
        <w:t xml:space="preserve">4.3  The Seven Risk Signals</w:t>
      </w:r>
    </w:p>
    <w:p>
      <w:pPr>
        <w:spacing w:after="60" w:before="60"/>
      </w:pPr>
      <w:r>
        <w:rPr>
          <w:rFonts w:ascii="Arial" w:cs="Arial" w:eastAsia="Arial" w:hAnsi="Arial"/>
          <w:b w:val="false"/>
          <w:bCs w:val="false"/>
          <w:color w:val="000000"/>
          <w:sz w:val="20"/>
          <w:szCs w:val="20"/>
        </w:rPr>
        <w:t xml:space="preserve">Each signal is a binary flag (1 = triggered, 0 = not triggered). Signals are evaluated for Active and Inactive customers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Signal Column</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Business Name</w:t>
            </w:r>
          </w:p>
        </w:tc>
        <w:tc>
          <w:tcPr>
            <w:tcW w:type="dxa" w:w="4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sig_salary_diverted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Salary Diverted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Salary credits have stopped flowing into this bank. Applies to Savings and Current accounts 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sig_txn_inactive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Txn Inactive &gt; 90d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customer-initiated transaction recorded in the last 90 or more days.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sig_low_balance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Balance &gt; 30d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balance has been below the minimum threshold for 30 or more consecutive days.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sig_complaints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Complaints &gt;= 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or more unresolved service complaints are recorded against the customer.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sig_digital_inactive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Digital Inactive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mobile or internet banking login in the last 60 or more days.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sig_fd_maturing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FD/RD Maturing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Fixed Deposit or Recurring Deposit is due to mature within the next 30 days. Renewal at risk.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sig_low_nps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NPS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Customer's Net Promoter Score (NPS) is 30 or below, indicating dissatisfaction.</w:t>
            </w:r>
          </w:p>
        </w:tc>
      </w:tr>
    </w:tbl>
    <w:p>
      <w:pPr>
        <w:pStyle w:val="Heading2"/>
        <w:spacing w:after="80" w:before="240"/>
      </w:pPr>
      <w:r>
        <w:rPr>
          <w:rFonts w:ascii="Arial" w:cs="Arial" w:eastAsia="Arial" w:hAnsi="Arial"/>
          <w:b/>
          <w:bCs/>
          <w:color w:val="2C3E50"/>
          <w:sz w:val="28"/>
          <w:szCs w:val="28"/>
        </w:rPr>
        <w:t xml:space="preserve">4.4  Recommended Action Priority</w:t>
      </w:r>
    </w:p>
    <w:p>
      <w:pPr>
        <w:spacing w:after="60" w:before="60"/>
      </w:pPr>
      <w:r>
        <w:rPr>
          <w:rFonts w:ascii="Arial" w:cs="Arial" w:eastAsia="Arial" w:hAnsi="Arial"/>
          <w:b w:val="false"/>
          <w:bCs w:val="false"/>
          <w:color w:val="000000"/>
          <w:sz w:val="20"/>
          <w:szCs w:val="20"/>
        </w:rPr>
        <w:t xml:space="preserve">When multiple signals are present, the Action List displays the highest-priority recommended action. Priority order (highest to lowest):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Salary Diverted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Call customer immediately — offer salary account benefit or loyalty reward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FD/RD Maturing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Proactive FD renewal call — offer a preferred interest rate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Complaints &gt;= 2</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Escalate to branch manager — resolve complaint within 48 hours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Low Balance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RM visit — explore financial difficulties or competitor offer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Txn Inactive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reactivation offer — cashback or fee waiver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Digital Inactive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Offer digital onboarding session — simplify app usage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Low NPS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recovery call — understand root cause of dissatisfaction</w:t>
            </w:r>
          </w:p>
        </w:tc>
      </w:tr>
    </w:tbl>
    <w:p>
      <w:r>
        <w:br w:type="page"/>
      </w:r>
    </w:p>
    <w:p>
      <w:pPr>
        <w:pStyle w:val="Heading1"/>
        <w:pBdr>
          <w:bottom w:val="single" w:color="1565C0" w:sz="6" w:space="4"/>
        </w:pBdr>
        <w:spacing w:after="120" w:before="300"/>
      </w:pPr>
      <w:r>
        <w:rPr>
          <w:rFonts w:ascii="Arial" w:cs="Arial" w:eastAsia="Arial" w:hAnsi="Arial"/>
          <w:b/>
          <w:bCs/>
          <w:color w:val="1565C0"/>
          <w:sz w:val="36"/>
          <w:szCs w:val="36"/>
        </w:rPr>
        <w:t xml:space="preserve">5. Functional Requirements</w:t>
      </w:r>
    </w:p>
    <w:p>
      <w:pPr>
        <w:pStyle w:val="Heading2"/>
        <w:spacing w:after="80" w:before="240"/>
      </w:pPr>
      <w:r>
        <w:rPr>
          <w:rFonts w:ascii="Arial" w:cs="Arial" w:eastAsia="Arial" w:hAnsi="Arial"/>
          <w:b/>
          <w:bCs/>
          <w:color w:val="2C3E50"/>
          <w:sz w:val="28"/>
          <w:szCs w:val="28"/>
        </w:rPr>
        <w:t xml:space="preserve">5.1  Overview Tab</w:t>
      </w:r>
    </w:p>
    <w:p>
      <w:pPr>
        <w:spacing w:after="60" w:before="60"/>
      </w:pPr>
      <w:r>
        <w:rPr>
          <w:rFonts w:ascii="Arial" w:cs="Arial" w:eastAsia="Arial" w:hAnsi="Arial"/>
          <w:b w:val="false"/>
          <w:bCs w:val="false"/>
          <w:color w:val="000000"/>
          <w:sz w:val="20"/>
          <w:szCs w:val="20"/>
        </w:rPr>
        <w:t xml:space="preserve">The Overview tab is the landing page of the dashboard. It provides a portfolio-level summary of the Active and Inactive customer base, with drill-down capabilities to branch and individual customer level.</w:t>
      </w:r>
    </w:p>
    <w:p>
      <w:pPr>
        <w:spacing w:after="0" w:before="0"/>
      </w:pPr>
      <w:r>
        <w:rPr>
          <w:rFonts w:ascii="Arial" w:cs="Arial" w:eastAsia="Arial" w:hAnsi="Arial"/>
          <w:sz w:val="20"/>
          <w:szCs w:val="20"/>
        </w:rPr>
        <w:t xml:space="preserve"/>
      </w:r>
    </w:p>
    <w:p>
      <w:pPr>
        <w:pStyle w:val="Heading3"/>
        <w:spacing w:after="60" w:before="160"/>
      </w:pPr>
      <w:r>
        <w:rPr>
          <w:rFonts w:ascii="Arial" w:cs="Arial" w:eastAsia="Arial" w:hAnsi="Arial"/>
          <w:b/>
          <w:bCs/>
          <w:color w:val="34495E"/>
          <w:sz w:val="24"/>
          <w:szCs w:val="24"/>
        </w:rPr>
        <w:t xml:space="preserve">5.1.1  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KPI Name</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Active Customers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number of Active and Inactive customers in the database.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At-Risk Customers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of High and Medium risk customers. Delta shows percentage of the active portfolio.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Deposits Exposed (OMR)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OMR +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balance held by High and Medium risk customers. Delta shows percentage of total portfolio balance.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Loan Outstanding (At-Risk)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OMR +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loan balance held by High and Medium risk customers. Delta shows percentage of the total loan book.</w:t>
            </w:r>
          </w:p>
        </w:tc>
      </w:tr>
    </w:tbl>
    <w:p>
      <w:pPr>
        <w:spacing w:after="0" w:before="0"/>
      </w:pPr>
      <w:r>
        <w:rPr>
          <w:rFonts w:ascii="Arial" w:cs="Arial" w:eastAsia="Arial" w:hAnsi="Arial"/>
          <w:sz w:val="20"/>
          <w:szCs w:val="20"/>
        </w:rPr>
        <w:t xml:space="preserve"/>
      </w:r>
    </w:p>
    <w:p>
      <w:pPr>
        <w:pStyle w:val="Heading3"/>
        <w:spacing w:after="60" w:before="160"/>
      </w:pPr>
      <w:r>
        <w:rPr>
          <w:rFonts w:ascii="Arial" w:cs="Arial" w:eastAsia="Arial" w:hAnsi="Arial"/>
          <w:b/>
          <w:bCs/>
          <w:color w:val="34495E"/>
          <w:sz w:val="24"/>
          <w:szCs w:val="24"/>
        </w:rPr>
        <w:t xml:space="preserve">5.1.2  Charts</w:t>
      </w:r>
    </w:p>
    <w:p>
      <w:pPr>
        <w:pStyle w:val="ListParagraph"/>
        <w:numPr>
          <w:ilvl w:val="0"/>
          <w:numId w:val="2"/>
        </w:numPr>
        <w:spacing w:after="30" w:before="30"/>
      </w:pPr>
      <w:r>
        <w:rPr>
          <w:rFonts w:ascii="Arial" w:cs="Arial" w:eastAsia="Arial" w:hAnsi="Arial"/>
          <w:b w:val="false"/>
          <w:bCs w:val="false"/>
          <w:sz w:val="20"/>
          <w:szCs w:val="20"/>
        </w:rPr>
        <w:t xml:space="preserve">Risk Level Distribution: Bar chart showing customer count by risk level (High, Medium, Low, Safe). Colour-coded: red, orange, yellow, green.</w:t>
      </w:r>
    </w:p>
    <w:p>
      <w:pPr>
        <w:pStyle w:val="ListParagraph"/>
        <w:numPr>
          <w:ilvl w:val="0"/>
          <w:numId w:val="2"/>
        </w:numPr>
        <w:spacing w:after="30" w:before="30"/>
      </w:pPr>
      <w:r>
        <w:rPr>
          <w:rFonts w:ascii="Arial" w:cs="Arial" w:eastAsia="Arial" w:hAnsi="Arial"/>
          <w:b w:val="false"/>
          <w:bCs w:val="false"/>
          <w:sz w:val="20"/>
          <w:szCs w:val="20"/>
        </w:rPr>
        <w:t xml:space="preserve">At-Risk Rate by Segment: Bar chart showing the percentage of customers that are High or Medium risk, broken down by HNI, SME, and Retail segments.</w:t>
      </w:r>
    </w:p>
    <w:p>
      <w:pPr>
        <w:pStyle w:val="ListParagraph"/>
        <w:numPr>
          <w:ilvl w:val="0"/>
          <w:numId w:val="2"/>
        </w:numPr>
        <w:spacing w:after="30" w:before="30"/>
      </w:pPr>
      <w:r>
        <w:rPr>
          <w:rFonts w:ascii="Arial" w:cs="Arial" w:eastAsia="Arial" w:hAnsi="Arial"/>
          <w:b w:val="false"/>
          <w:bCs w:val="false"/>
          <w:sz w:val="20"/>
          <w:szCs w:val="20"/>
        </w:rPr>
        <w:t xml:space="preserve">At-Risk Rate by Account Type: Bar chart showing at-risk rate for Savings, Current, FD, and RD account types.</w:t>
      </w:r>
    </w:p>
    <w:p>
      <w:pPr>
        <w:pStyle w:val="ListParagraph"/>
        <w:numPr>
          <w:ilvl w:val="0"/>
          <w:numId w:val="2"/>
        </w:numPr>
        <w:spacing w:after="30" w:before="30"/>
      </w:pPr>
      <w:r>
        <w:rPr>
          <w:rFonts w:ascii="Arial" w:cs="Arial" w:eastAsia="Arial" w:hAnsi="Arial"/>
          <w:b w:val="false"/>
          <w:bCs w:val="false"/>
          <w:sz w:val="20"/>
          <w:szCs w:val="20"/>
        </w:rPr>
        <w:t xml:space="preserve">At-Risk Customers by Branch: Horizontal bar chart showing count of at-risk customers per branch, sorted highest to lowest.</w:t>
      </w:r>
    </w:p>
    <w:p>
      <w:pPr>
        <w:pStyle w:val="ListParagraph"/>
        <w:numPr>
          <w:ilvl w:val="0"/>
          <w:numId w:val="2"/>
        </w:numPr>
        <w:spacing w:after="30" w:before="30"/>
      </w:pPr>
      <w:r>
        <w:rPr>
          <w:rFonts w:ascii="Arial" w:cs="Arial" w:eastAsia="Arial" w:hAnsi="Arial"/>
          <w:b w:val="false"/>
          <w:bCs w:val="false"/>
          <w:sz w:val="20"/>
          <w:szCs w:val="20"/>
        </w:rPr>
        <w:t xml:space="preserve">Risk Signal Frequency: Horizontal bar chart showing the percentage of Active + Inactive customers with each of the 7 signals triggered.</w:t>
      </w:r>
    </w:p>
    <w:p>
      <w:pPr>
        <w:pStyle w:val="ListParagraph"/>
        <w:numPr>
          <w:ilvl w:val="0"/>
          <w:numId w:val="2"/>
        </w:numPr>
        <w:spacing w:after="30" w:before="30"/>
      </w:pPr>
      <w:r>
        <w:rPr>
          <w:rFonts w:ascii="Arial" w:cs="Arial" w:eastAsia="Arial" w:hAnsi="Arial"/>
          <w:b w:val="false"/>
          <w:bCs w:val="false"/>
          <w:sz w:val="20"/>
          <w:szCs w:val="20"/>
        </w:rPr>
        <w:t xml:space="preserve">Top 5 High-Risk Customers: Table showing the five highest-balance High-risk customers with columns: Customer ID, Segment, Balance (OMR).</w:t>
      </w:r>
    </w:p>
    <w:p>
      <w:pPr>
        <w:spacing w:after="0" w:before="0"/>
      </w:pPr>
      <w:r>
        <w:rPr>
          <w:rFonts w:ascii="Arial" w:cs="Arial" w:eastAsia="Arial" w:hAnsi="Arial"/>
          <w:sz w:val="20"/>
          <w:szCs w:val="20"/>
        </w:rPr>
        <w:t xml:space="preserve"/>
      </w:r>
    </w:p>
    <w:p>
      <w:pPr>
        <w:pStyle w:val="Heading3"/>
        <w:spacing w:after="60" w:before="160"/>
      </w:pPr>
      <w:r>
        <w:rPr>
          <w:rFonts w:ascii="Arial" w:cs="Arial" w:eastAsia="Arial" w:hAnsi="Arial"/>
          <w:b/>
          <w:bCs/>
          <w:color w:val="34495E"/>
          <w:sz w:val="24"/>
          <w:szCs w:val="24"/>
        </w:rPr>
        <w:t xml:space="preserve">5.1.3  Drill-Down Behaviour</w:t>
      </w:r>
    </w:p>
    <w:p>
      <w:pPr>
        <w:pStyle w:val="ListParagraph"/>
        <w:numPr>
          <w:ilvl w:val="0"/>
          <w:numId w:val="2"/>
        </w:numPr>
        <w:spacing w:after="30" w:before="30"/>
      </w:pPr>
      <w:r>
        <w:rPr>
          <w:rFonts w:ascii="Arial" w:cs="Arial" w:eastAsia="Arial" w:hAnsi="Arial"/>
          <w:b w:val="false"/>
          <w:bCs w:val="false"/>
          <w:sz w:val="20"/>
          <w:szCs w:val="20"/>
        </w:rPr>
        <w:t xml:space="preserve">KPI card click: Opens a branch-level bar chart showing the KPI broken down by branch. A further click on a branch bar shows the customer table for that branch.</w:t>
      </w:r>
    </w:p>
    <w:p>
      <w:pPr>
        <w:pStyle w:val="ListParagraph"/>
        <w:numPr>
          <w:ilvl w:val="0"/>
          <w:numId w:val="2"/>
        </w:numPr>
        <w:spacing w:after="30" w:before="30"/>
      </w:pPr>
      <w:r>
        <w:rPr>
          <w:rFonts w:ascii="Arial" w:cs="Arial" w:eastAsia="Arial" w:hAnsi="Arial"/>
          <w:b w:val="false"/>
          <w:bCs w:val="false"/>
          <w:sz w:val="20"/>
          <w:szCs w:val="20"/>
        </w:rPr>
        <w:t xml:space="preserve">Chart bar click (Risk Level, Segment, Account Type, Branch): Opens a branch-level breakdown, then a customer table on second click.</w:t>
      </w:r>
    </w:p>
    <w:p>
      <w:pPr>
        <w:pStyle w:val="ListParagraph"/>
        <w:numPr>
          <w:ilvl w:val="0"/>
          <w:numId w:val="2"/>
        </w:numPr>
        <w:spacing w:after="30" w:before="30"/>
      </w:pPr>
      <w:r>
        <w:rPr>
          <w:rFonts w:ascii="Arial" w:cs="Arial" w:eastAsia="Arial" w:hAnsi="Arial"/>
          <w:b w:val="false"/>
          <w:bCs w:val="false"/>
          <w:sz w:val="20"/>
          <w:szCs w:val="20"/>
        </w:rPr>
        <w:t xml:space="preserve">Customer table: Shows up to 200 customers sorted by risk level then balance descending. Columns: Customer ID, Status, Risk Level, Segment, Account Type, Balance, Tenure, Days Since Txn, Signals, NPS, Complaints.</w:t>
      </w:r>
    </w:p>
    <w:p>
      <w:pPr>
        <w:pStyle w:val="ListParagraph"/>
        <w:numPr>
          <w:ilvl w:val="0"/>
          <w:numId w:val="2"/>
        </w:numPr>
        <w:spacing w:after="30" w:before="30"/>
      </w:pPr>
      <w:r>
        <w:rPr>
          <w:rFonts w:ascii="Arial" w:cs="Arial" w:eastAsia="Arial" w:hAnsi="Arial"/>
          <w:b w:val="false"/>
          <w:bCs w:val="false"/>
          <w:sz w:val="20"/>
          <w:szCs w:val="20"/>
        </w:rPr>
        <w:t xml:space="preserve">Navigation: Back buttons are provided at each drill level. Clearing the drill restores the main dashboard view.</w:t>
      </w:r>
    </w:p>
    <w:p>
      <w:pPr>
        <w:pStyle w:val="Heading2"/>
        <w:spacing w:after="80" w:before="240"/>
      </w:pPr>
      <w:r>
        <w:rPr>
          <w:rFonts w:ascii="Arial" w:cs="Arial" w:eastAsia="Arial" w:hAnsi="Arial"/>
          <w:b/>
          <w:bCs/>
          <w:color w:val="2C3E50"/>
          <w:sz w:val="28"/>
          <w:szCs w:val="28"/>
        </w:rPr>
        <w:t xml:space="preserve">5.2  Churn Trends Tab</w:t>
      </w:r>
    </w:p>
    <w:p>
      <w:pPr>
        <w:spacing w:after="60" w:before="60"/>
      </w:pPr>
      <w:r>
        <w:rPr>
          <w:rFonts w:ascii="Arial" w:cs="Arial" w:eastAsia="Arial" w:hAnsi="Arial"/>
          <w:b w:val="false"/>
          <w:bCs w:val="false"/>
          <w:color w:val="000000"/>
          <w:sz w:val="20"/>
          <w:szCs w:val="20"/>
        </w:rPr>
        <w:t xml:space="preserve">The Churn Trends tab provides a historical view of confirmed exits. It covers customers with status = Churned only.</w:t>
      </w:r>
    </w:p>
    <w:p>
      <w:pPr>
        <w:spacing w:after="0" w:before="0"/>
      </w:pPr>
      <w:r>
        <w:rPr>
          <w:rFonts w:ascii="Arial" w:cs="Arial" w:eastAsia="Arial" w:hAnsi="Arial"/>
          <w:sz w:val="20"/>
          <w:szCs w:val="20"/>
        </w:rPr>
        <w:t xml:space="preserve"/>
      </w:r>
    </w:p>
    <w:p>
      <w:pPr>
        <w:pStyle w:val="Heading3"/>
        <w:spacing w:after="60" w:before="160"/>
      </w:pPr>
      <w:r>
        <w:rPr>
          <w:rFonts w:ascii="Arial" w:cs="Arial" w:eastAsia="Arial" w:hAnsi="Arial"/>
          <w:b/>
          <w:bCs/>
          <w:color w:val="34495E"/>
          <w:sz w:val="24"/>
          <w:szCs w:val="24"/>
        </w:rPr>
        <w:t xml:space="preserve">5.2.1  Analysis Window</w:t>
      </w:r>
    </w:p>
    <w:p>
      <w:pPr>
        <w:spacing w:after="60" w:before="60"/>
      </w:pPr>
      <w:r>
        <w:rPr>
          <w:rFonts w:ascii="Arial" w:cs="Arial" w:eastAsia="Arial" w:hAnsi="Arial"/>
          <w:b w:val="false"/>
          <w:bCs w:val="false"/>
          <w:color w:val="000000"/>
          <w:sz w:val="20"/>
          <w:szCs w:val="20"/>
        </w:rPr>
        <w:t xml:space="preserve">A slider allows the user to select the analysis window: last 4, 8, 13, 26, or 52 weeks. All charts and KPIs on this tab respond to the selected window. Default is 13 weeks.</w:t>
      </w:r>
    </w:p>
    <w:p>
      <w:pPr>
        <w:spacing w:after="0" w:before="0"/>
      </w:pPr>
      <w:r>
        <w:rPr>
          <w:rFonts w:ascii="Arial" w:cs="Arial" w:eastAsia="Arial" w:hAnsi="Arial"/>
          <w:sz w:val="20"/>
          <w:szCs w:val="20"/>
        </w:rPr>
        <w:t xml:space="preserve"/>
      </w:r>
    </w:p>
    <w:p>
      <w:pPr>
        <w:pStyle w:val="Heading3"/>
        <w:spacing w:after="60" w:before="160"/>
      </w:pPr>
      <w:r>
        <w:rPr>
          <w:rFonts w:ascii="Arial" w:cs="Arial" w:eastAsia="Arial" w:hAnsi="Arial"/>
          <w:b/>
          <w:bCs/>
          <w:color w:val="34495E"/>
          <w:sz w:val="24"/>
          <w:szCs w:val="24"/>
        </w:rPr>
        <w:t xml:space="preserve">5.2.2  KPI Cards</w:t>
      </w:r>
    </w:p>
    <w:p>
      <w:pPr>
        <w:pStyle w:val="ListParagraph"/>
        <w:numPr>
          <w:ilvl w:val="0"/>
          <w:numId w:val="2"/>
        </w:numPr>
        <w:spacing w:after="30" w:before="30"/>
      </w:pPr>
      <w:r>
        <w:rPr>
          <w:rFonts w:ascii="Arial" w:cs="Arial" w:eastAsia="Arial" w:hAnsi="Arial"/>
          <w:b w:val="false"/>
          <w:bCs w:val="false"/>
          <w:sz w:val="20"/>
          <w:szCs w:val="20"/>
        </w:rPr>
        <w:t xml:space="preserve">Total Churned: Count of confirmed exits in the selected window.</w:t>
      </w:r>
    </w:p>
    <w:p>
      <w:pPr>
        <w:pStyle w:val="ListParagraph"/>
        <w:numPr>
          <w:ilvl w:val="0"/>
          <w:numId w:val="2"/>
        </w:numPr>
        <w:spacing w:after="30" w:before="30"/>
      </w:pPr>
      <w:r>
        <w:rPr>
          <w:rFonts w:ascii="Arial" w:cs="Arial" w:eastAsia="Arial" w:hAnsi="Arial"/>
          <w:b w:val="false"/>
          <w:bCs w:val="false"/>
          <w:sz w:val="20"/>
          <w:szCs w:val="20"/>
        </w:rPr>
        <w:t xml:space="preserve">% With Loans: Percentage of churned customers who held an active loan at time of exit.</w:t>
      </w:r>
    </w:p>
    <w:p>
      <w:pPr>
        <w:pStyle w:val="ListParagraph"/>
        <w:numPr>
          <w:ilvl w:val="0"/>
          <w:numId w:val="2"/>
        </w:numPr>
        <w:spacing w:after="30" w:before="30"/>
      </w:pPr>
      <w:r>
        <w:rPr>
          <w:rFonts w:ascii="Arial" w:cs="Arial" w:eastAsia="Arial" w:hAnsi="Arial"/>
          <w:b w:val="false"/>
          <w:bCs w:val="false"/>
          <w:sz w:val="20"/>
          <w:szCs w:val="20"/>
        </w:rPr>
        <w:t xml:space="preserve">Avg per Week: Average weekly churn count across the selected window.</w:t>
      </w:r>
    </w:p>
    <w:p>
      <w:pPr>
        <w:pStyle w:val="ListParagraph"/>
        <w:numPr>
          <w:ilvl w:val="0"/>
          <w:numId w:val="2"/>
        </w:numPr>
        <w:spacing w:after="30" w:before="30"/>
      </w:pPr>
      <w:r>
        <w:rPr>
          <w:rFonts w:ascii="Arial" w:cs="Arial" w:eastAsia="Arial" w:hAnsi="Arial"/>
          <w:b w:val="false"/>
          <w:bCs w:val="false"/>
          <w:sz w:val="20"/>
          <w:szCs w:val="20"/>
        </w:rPr>
        <w:t xml:space="preserve">Avg Signal Count: Average number of risk signals churned customers had before exiting.</w:t>
      </w:r>
    </w:p>
    <w:p>
      <w:pPr>
        <w:spacing w:after="0" w:before="0"/>
      </w:pPr>
      <w:r>
        <w:rPr>
          <w:rFonts w:ascii="Arial" w:cs="Arial" w:eastAsia="Arial" w:hAnsi="Arial"/>
          <w:sz w:val="20"/>
          <w:szCs w:val="20"/>
        </w:rPr>
        <w:t xml:space="preserve"/>
      </w:r>
    </w:p>
    <w:p>
      <w:pPr>
        <w:pStyle w:val="Heading3"/>
        <w:spacing w:after="60" w:before="160"/>
      </w:pPr>
      <w:r>
        <w:rPr>
          <w:rFonts w:ascii="Arial" w:cs="Arial" w:eastAsia="Arial" w:hAnsi="Arial"/>
          <w:b/>
          <w:bCs/>
          <w:color w:val="34495E"/>
          <w:sz w:val="24"/>
          <w:szCs w:val="24"/>
        </w:rPr>
        <w:t xml:space="preserve">5.2.3  Charts</w:t>
      </w:r>
    </w:p>
    <w:p>
      <w:pPr>
        <w:pStyle w:val="ListParagraph"/>
        <w:numPr>
          <w:ilvl w:val="0"/>
          <w:numId w:val="2"/>
        </w:numPr>
        <w:spacing w:after="30" w:before="30"/>
      </w:pPr>
      <w:r>
        <w:rPr>
          <w:rFonts w:ascii="Arial" w:cs="Arial" w:eastAsia="Arial" w:hAnsi="Arial"/>
          <w:b w:val="false"/>
          <w:bCs w:val="false"/>
          <w:sz w:val="20"/>
          <w:szCs w:val="20"/>
        </w:rPr>
        <w:t xml:space="preserve">Weekly Churn Volume: Line chart with bar overlay showing churn count per week. Clickable data points.</w:t>
      </w:r>
    </w:p>
    <w:p>
      <w:pPr>
        <w:pStyle w:val="ListParagraph"/>
        <w:numPr>
          <w:ilvl w:val="0"/>
          <w:numId w:val="2"/>
        </w:numPr>
        <w:spacing w:after="30" w:before="30"/>
      </w:pPr>
      <w:r>
        <w:rPr>
          <w:rFonts w:ascii="Arial" w:cs="Arial" w:eastAsia="Arial" w:hAnsi="Arial"/>
          <w:b w:val="false"/>
          <w:bCs w:val="false"/>
          <w:sz w:val="20"/>
          <w:szCs w:val="20"/>
        </w:rPr>
        <w:t xml:space="preserve">Exit Type Summary: Horizontal bar chart showing total exits by exit type (Account Closure, Extended Inactivity, Salary Diversion, Balance Dormancy, Transaction Inactivity). Clickable bars.</w:t>
      </w:r>
    </w:p>
    <w:p>
      <w:pPr>
        <w:pStyle w:val="ListParagraph"/>
        <w:numPr>
          <w:ilvl w:val="0"/>
          <w:numId w:val="2"/>
        </w:numPr>
        <w:spacing w:after="30" w:before="30"/>
      </w:pPr>
      <w:r>
        <w:rPr>
          <w:rFonts w:ascii="Arial" w:cs="Arial" w:eastAsia="Arial" w:hAnsi="Arial"/>
          <w:b w:val="false"/>
          <w:bCs w:val="false"/>
          <w:sz w:val="20"/>
          <w:szCs w:val="20"/>
        </w:rPr>
        <w:t xml:space="preserve">Churn by Exit Type Over Time: Stacked area chart showing weekly exit volumes per type.</w:t>
      </w:r>
    </w:p>
    <w:p>
      <w:pPr>
        <w:pStyle w:val="ListParagraph"/>
        <w:numPr>
          <w:ilvl w:val="0"/>
          <w:numId w:val="2"/>
        </w:numPr>
        <w:spacing w:after="30" w:before="30"/>
      </w:pPr>
      <w:r>
        <w:rPr>
          <w:rFonts w:ascii="Arial" w:cs="Arial" w:eastAsia="Arial" w:hAnsi="Arial"/>
          <w:b w:val="false"/>
          <w:bCs w:val="false"/>
          <w:sz w:val="20"/>
          <w:szCs w:val="20"/>
        </w:rPr>
        <w:t xml:space="preserve">Churn by Branch: Horizontal bar chart showing total exits per branch. Clickable bars.</w:t>
      </w:r>
    </w:p>
    <w:p>
      <w:pPr>
        <w:pStyle w:val="ListParagraph"/>
        <w:numPr>
          <w:ilvl w:val="0"/>
          <w:numId w:val="2"/>
        </w:numPr>
        <w:spacing w:after="30" w:before="30"/>
      </w:pPr>
      <w:r>
        <w:rPr>
          <w:rFonts w:ascii="Arial" w:cs="Arial" w:eastAsia="Arial" w:hAnsi="Arial"/>
          <w:b w:val="false"/>
          <w:bCs w:val="false"/>
          <w:sz w:val="20"/>
          <w:szCs w:val="20"/>
        </w:rPr>
        <w:t xml:space="preserve">Churn by Segment Over Time: Multi-line chart (HNI, SME, Retail) showing weekly churn by segment. Clickable data points.</w:t>
      </w:r>
    </w:p>
    <w:p>
      <w:pPr>
        <w:spacing w:after="0" w:before="0"/>
      </w:pPr>
      <w:r>
        <w:rPr>
          <w:rFonts w:ascii="Arial" w:cs="Arial" w:eastAsia="Arial" w:hAnsi="Arial"/>
          <w:sz w:val="20"/>
          <w:szCs w:val="20"/>
        </w:rPr>
        <w:t xml:space="preserve"/>
      </w:r>
    </w:p>
    <w:p>
      <w:pPr>
        <w:pStyle w:val="Heading3"/>
        <w:spacing w:after="60" w:before="160"/>
      </w:pPr>
      <w:r>
        <w:rPr>
          <w:rFonts w:ascii="Arial" w:cs="Arial" w:eastAsia="Arial" w:hAnsi="Arial"/>
          <w:b/>
          <w:bCs/>
          <w:color w:val="34495E"/>
          <w:sz w:val="24"/>
          <w:szCs w:val="24"/>
        </w:rPr>
        <w:t xml:space="preserve">5.2.4  Drill-Down Behaviour</w:t>
      </w:r>
    </w:p>
    <w:p>
      <w:pPr>
        <w:spacing w:after="60" w:before="60"/>
      </w:pPr>
      <w:r>
        <w:rPr>
          <w:rFonts w:ascii="Arial" w:cs="Arial" w:eastAsia="Arial" w:hAnsi="Arial"/>
          <w:b w:val="false"/>
          <w:bCs w:val="false"/>
          <w:color w:val="000000"/>
          <w:sz w:val="20"/>
          <w:szCs w:val="20"/>
        </w:rPr>
        <w:t xml:space="preserve">Clicking on a data point or bar in any interactive chart opens a customer table showing the churned customers matching that selection. A Back button returns to the main trends view. The customer table shows: Customer ID, Segment, Account Type, Branch, Exit Type, Exit Week, Tenure, Signals, Had Loan, NPS.</w:t>
      </w:r>
    </w:p>
    <w:p>
      <w:pPr>
        <w:pStyle w:val="Heading2"/>
        <w:spacing w:after="80" w:before="240"/>
      </w:pPr>
      <w:r>
        <w:rPr>
          <w:rFonts w:ascii="Arial" w:cs="Arial" w:eastAsia="Arial" w:hAnsi="Arial"/>
          <w:b/>
          <w:bCs/>
          <w:color w:val="2C3E50"/>
          <w:sz w:val="28"/>
          <w:szCs w:val="28"/>
        </w:rPr>
        <w:t xml:space="preserve">5.3  Risk Analysis Tab</w:t>
      </w:r>
    </w:p>
    <w:p>
      <w:pPr>
        <w:spacing w:after="60" w:before="60"/>
      </w:pPr>
      <w:r>
        <w:rPr>
          <w:rFonts w:ascii="Arial" w:cs="Arial" w:eastAsia="Arial" w:hAnsi="Arial"/>
          <w:b w:val="false"/>
          <w:bCs w:val="false"/>
          <w:color w:val="000000"/>
          <w:sz w:val="20"/>
          <w:szCs w:val="20"/>
        </w:rPr>
        <w:t xml:space="preserve">The Risk Analysis tab provides an analytical deep-dive into risk drivers within the Active and Inactive customer population. It is filtered to exclude Churned customers entirely.</w:t>
      </w:r>
    </w:p>
    <w:p>
      <w:pPr>
        <w:spacing w:after="0" w:before="0"/>
      </w:pPr>
      <w:r>
        <w:rPr>
          <w:rFonts w:ascii="Arial" w:cs="Arial" w:eastAsia="Arial" w:hAnsi="Arial"/>
          <w:sz w:val="20"/>
          <w:szCs w:val="20"/>
        </w:rPr>
        <w:t xml:space="preserve"/>
      </w:r>
    </w:p>
    <w:p>
      <w:pPr>
        <w:pStyle w:val="Heading3"/>
        <w:spacing w:after="60" w:before="160"/>
      </w:pPr>
      <w:r>
        <w:rPr>
          <w:rFonts w:ascii="Arial" w:cs="Arial" w:eastAsia="Arial" w:hAnsi="Arial"/>
          <w:b/>
          <w:bCs/>
          <w:color w:val="34495E"/>
          <w:sz w:val="24"/>
          <w:szCs w:val="24"/>
        </w:rPr>
        <w:t xml:space="preserve">5.3.1  Filters</w:t>
      </w:r>
    </w:p>
    <w:p>
      <w:pPr>
        <w:pStyle w:val="ListParagraph"/>
        <w:numPr>
          <w:ilvl w:val="0"/>
          <w:numId w:val="2"/>
        </w:numPr>
        <w:spacing w:after="30" w:before="30"/>
      </w:pPr>
      <w:r>
        <w:rPr>
          <w:rFonts w:ascii="Arial" w:cs="Arial" w:eastAsia="Arial" w:hAnsi="Arial"/>
          <w:b w:val="false"/>
          <w:bCs w:val="false"/>
          <w:sz w:val="20"/>
          <w:szCs w:val="20"/>
        </w:rPr>
        <w:t xml:space="preserve">Segment: Radio buttons for All, HNI, SME, Retail.</w:t>
      </w:r>
    </w:p>
    <w:p>
      <w:pPr>
        <w:pStyle w:val="ListParagraph"/>
        <w:numPr>
          <w:ilvl w:val="0"/>
          <w:numId w:val="2"/>
        </w:numPr>
        <w:spacing w:after="30" w:before="30"/>
      </w:pPr>
      <w:r>
        <w:rPr>
          <w:rFonts w:ascii="Arial" w:cs="Arial" w:eastAsia="Arial" w:hAnsi="Arial"/>
          <w:b w:val="false"/>
          <w:bCs w:val="false"/>
          <w:sz w:val="20"/>
          <w:szCs w:val="20"/>
        </w:rPr>
        <w:t xml:space="preserve">Branch: Dropdown listing all branches plus an All option.</w:t>
      </w:r>
    </w:p>
    <w:p>
      <w:pPr>
        <w:spacing w:after="0" w:before="0"/>
      </w:pPr>
      <w:r>
        <w:rPr>
          <w:rFonts w:ascii="Arial" w:cs="Arial" w:eastAsia="Arial" w:hAnsi="Arial"/>
          <w:sz w:val="20"/>
          <w:szCs w:val="20"/>
        </w:rPr>
        <w:t xml:space="preserve"/>
      </w:r>
    </w:p>
    <w:p>
      <w:pPr>
        <w:pStyle w:val="Heading3"/>
        <w:spacing w:after="60" w:before="160"/>
      </w:pPr>
      <w:r>
        <w:rPr>
          <w:rFonts w:ascii="Arial" w:cs="Arial" w:eastAsia="Arial" w:hAnsi="Arial"/>
          <w:b/>
          <w:bCs/>
          <w:color w:val="34495E"/>
          <w:sz w:val="24"/>
          <w:szCs w:val="24"/>
        </w:rPr>
        <w:t xml:space="preserve">5.3.2  Row 1 - Risk Drivers</w:t>
      </w:r>
    </w:p>
    <w:p>
      <w:pPr>
        <w:pStyle w:val="ListParagraph"/>
        <w:numPr>
          <w:ilvl w:val="0"/>
          <w:numId w:val="2"/>
        </w:numPr>
        <w:spacing w:after="30" w:before="30"/>
      </w:pPr>
      <w:r>
        <w:rPr>
          <w:rFonts w:ascii="Arial" w:cs="Arial" w:eastAsia="Arial" w:hAnsi="Arial"/>
          <w:b w:val="false"/>
          <w:bCs w:val="false"/>
          <w:sz w:val="20"/>
          <w:szCs w:val="20"/>
        </w:rPr>
        <w:t xml:space="preserve">At-Risk Rate by Signal: Horizontal bar chart showing the percentage of customers with each signal who are High or Medium risk. Clicking a signal bar shows that signal's customers.</w:t>
      </w:r>
    </w:p>
    <w:p>
      <w:pPr>
        <w:pStyle w:val="ListParagraph"/>
        <w:numPr>
          <w:ilvl w:val="0"/>
          <w:numId w:val="2"/>
        </w:numPr>
        <w:spacing w:after="30" w:before="30"/>
      </w:pPr>
      <w:r>
        <w:rPr>
          <w:rFonts w:ascii="Arial" w:cs="Arial" w:eastAsia="Arial" w:hAnsi="Arial"/>
          <w:b w:val="false"/>
          <w:bCs w:val="false"/>
          <w:sz w:val="20"/>
          <w:szCs w:val="20"/>
        </w:rPr>
        <w:t xml:space="preserve">NPS Band vs At-Risk Rate: Bar chart showing at-risk rate for Detractor (NPS &lt;= 30), Passive (31-70), and Promoter (&gt;70) bands. Clickable.</w:t>
      </w:r>
    </w:p>
    <w:p>
      <w:pPr>
        <w:pStyle w:val="ListParagraph"/>
        <w:numPr>
          <w:ilvl w:val="0"/>
          <w:numId w:val="2"/>
        </w:numPr>
        <w:spacing w:after="30" w:before="30"/>
      </w:pPr>
      <w:r>
        <w:rPr>
          <w:rFonts w:ascii="Arial" w:cs="Arial" w:eastAsia="Arial" w:hAnsi="Arial"/>
          <w:b w:val="false"/>
          <w:bCs w:val="false"/>
          <w:sz w:val="20"/>
          <w:szCs w:val="20"/>
        </w:rPr>
        <w:t xml:space="preserve">Complaints vs At-Risk Rate: Bar chart showing at-risk rate at complaint counts of 0, 1, 2, and 3+. Clickable.</w:t>
      </w:r>
    </w:p>
    <w:p>
      <w:pPr>
        <w:spacing w:after="0" w:before="0"/>
      </w:pPr>
      <w:r>
        <w:rPr>
          <w:rFonts w:ascii="Arial" w:cs="Arial" w:eastAsia="Arial" w:hAnsi="Arial"/>
          <w:sz w:val="20"/>
          <w:szCs w:val="20"/>
        </w:rPr>
        <w:t xml:space="preserve"/>
      </w:r>
    </w:p>
    <w:p>
      <w:pPr>
        <w:pStyle w:val="Heading3"/>
        <w:spacing w:after="60" w:before="160"/>
      </w:pPr>
      <w:r>
        <w:rPr>
          <w:rFonts w:ascii="Arial" w:cs="Arial" w:eastAsia="Arial" w:hAnsi="Arial"/>
          <w:b/>
          <w:bCs/>
          <w:color w:val="34495E"/>
          <w:sz w:val="24"/>
          <w:szCs w:val="24"/>
        </w:rPr>
        <w:t xml:space="preserve">5.3.3  Row 2 - Behavioural Profile</w:t>
      </w:r>
    </w:p>
    <w:p>
      <w:pPr>
        <w:pStyle w:val="ListParagraph"/>
        <w:numPr>
          <w:ilvl w:val="0"/>
          <w:numId w:val="2"/>
        </w:numPr>
        <w:spacing w:after="30" w:before="30"/>
      </w:pPr>
      <w:r>
        <w:rPr>
          <w:rFonts w:ascii="Arial" w:cs="Arial" w:eastAsia="Arial" w:hAnsi="Arial"/>
          <w:b w:val="false"/>
          <w:bCs w:val="false"/>
          <w:sz w:val="20"/>
          <w:szCs w:val="20"/>
        </w:rPr>
        <w:t xml:space="preserve">Avg Balance (At-Risk vs Safe): Grouped bar chart comparing average balance of at-risk customers vs safe customers, broken down by segment.</w:t>
      </w:r>
    </w:p>
    <w:p>
      <w:pPr>
        <w:pStyle w:val="ListParagraph"/>
        <w:numPr>
          <w:ilvl w:val="0"/>
          <w:numId w:val="2"/>
        </w:numPr>
        <w:spacing w:after="30" w:before="30"/>
      </w:pPr>
      <w:r>
        <w:rPr>
          <w:rFonts w:ascii="Arial" w:cs="Arial" w:eastAsia="Arial" w:hAnsi="Arial"/>
          <w:b w:val="false"/>
          <w:bCs w:val="false"/>
          <w:sz w:val="20"/>
          <w:szCs w:val="20"/>
        </w:rPr>
        <w:t xml:space="preserve">Avg Days Since Last Txn (At-Risk vs Safe): Grouped bar chart comparing average transaction recency by segment.</w:t>
      </w:r>
    </w:p>
    <w:p>
      <w:pPr>
        <w:pStyle w:val="ListParagraph"/>
        <w:numPr>
          <w:ilvl w:val="0"/>
          <w:numId w:val="2"/>
        </w:numPr>
        <w:spacing w:after="30" w:before="30"/>
      </w:pPr>
      <w:r>
        <w:rPr>
          <w:rFonts w:ascii="Arial" w:cs="Arial" w:eastAsia="Arial" w:hAnsi="Arial"/>
          <w:b w:val="false"/>
          <w:bCs w:val="false"/>
          <w:sz w:val="20"/>
          <w:szCs w:val="20"/>
        </w:rPr>
        <w:t xml:space="preserve">Avg Products Held (At-Risk vs Safe): Grouped bar chart comparing average product count by segment.</w:t>
      </w:r>
    </w:p>
    <w:p>
      <w:pPr>
        <w:spacing w:after="0" w:before="0"/>
      </w:pPr>
      <w:r>
        <w:rPr>
          <w:rFonts w:ascii="Arial" w:cs="Arial" w:eastAsia="Arial" w:hAnsi="Arial"/>
          <w:sz w:val="20"/>
          <w:szCs w:val="20"/>
        </w:rPr>
        <w:t xml:space="preserve"/>
      </w:r>
    </w:p>
    <w:p>
      <w:pPr>
        <w:pStyle w:val="Heading3"/>
        <w:spacing w:after="60" w:before="160"/>
      </w:pPr>
      <w:r>
        <w:rPr>
          <w:rFonts w:ascii="Arial" w:cs="Arial" w:eastAsia="Arial" w:hAnsi="Arial"/>
          <w:b/>
          <w:bCs/>
          <w:color w:val="34495E"/>
          <w:sz w:val="24"/>
          <w:szCs w:val="24"/>
        </w:rPr>
        <w:t xml:space="preserve">5.3.4  Drill-Down Behaviour</w:t>
      </w:r>
    </w:p>
    <w:p>
      <w:pPr>
        <w:spacing w:after="60" w:before="60"/>
      </w:pPr>
      <w:r>
        <w:rPr>
          <w:rFonts w:ascii="Arial" w:cs="Arial" w:eastAsia="Arial" w:hAnsi="Arial"/>
          <w:b w:val="false"/>
          <w:bCs w:val="false"/>
          <w:color w:val="000000"/>
          <w:sz w:val="20"/>
          <w:szCs w:val="20"/>
        </w:rPr>
        <w:t xml:space="preserve">Clicking a bar in the three drillable charts (signal, NPS, complaints) opens a customer table filtered to that selection.</w:t>
      </w:r>
    </w:p>
    <w:p>
      <w:pPr>
        <w:pStyle w:val="Heading2"/>
        <w:spacing w:after="80" w:before="240"/>
      </w:pPr>
      <w:r>
        <w:rPr>
          <w:rFonts w:ascii="Arial" w:cs="Arial" w:eastAsia="Arial" w:hAnsi="Arial"/>
          <w:b/>
          <w:bCs/>
          <w:color w:val="2C3E50"/>
          <w:sz w:val="28"/>
          <w:szCs w:val="28"/>
        </w:rPr>
        <w:t xml:space="preserve">5.4  Action List Tab</w:t>
      </w:r>
    </w:p>
    <w:p>
      <w:pPr>
        <w:spacing w:after="60" w:before="60"/>
      </w:pPr>
      <w:r>
        <w:rPr>
          <w:rFonts w:ascii="Arial" w:cs="Arial" w:eastAsia="Arial" w:hAnsi="Arial"/>
          <w:b w:val="false"/>
          <w:bCs w:val="false"/>
          <w:color w:val="000000"/>
          <w:sz w:val="20"/>
          <w:szCs w:val="20"/>
        </w:rPr>
        <w:t xml:space="preserve">The Action List tab is the daily operational tool. It presents a filterable, exportable list of at-risk customers with recommended actions for each.</w:t>
      </w:r>
    </w:p>
    <w:p>
      <w:pPr>
        <w:spacing w:after="0" w:before="0"/>
      </w:pPr>
      <w:r>
        <w:rPr>
          <w:rFonts w:ascii="Arial" w:cs="Arial" w:eastAsia="Arial" w:hAnsi="Arial"/>
          <w:sz w:val="20"/>
          <w:szCs w:val="20"/>
        </w:rPr>
        <w:t xml:space="preserve"/>
      </w:r>
    </w:p>
    <w:p>
      <w:pPr>
        <w:pStyle w:val="Heading3"/>
        <w:spacing w:after="60" w:before="160"/>
      </w:pPr>
      <w:r>
        <w:rPr>
          <w:rFonts w:ascii="Arial" w:cs="Arial" w:eastAsia="Arial" w:hAnsi="Arial"/>
          <w:b/>
          <w:bCs/>
          <w:color w:val="34495E"/>
          <w:sz w:val="24"/>
          <w:szCs w:val="24"/>
        </w:rPr>
        <w:t xml:space="preserve">5.4.1  Filters</w:t>
      </w:r>
    </w:p>
    <w:p>
      <w:pPr>
        <w:pStyle w:val="ListParagraph"/>
        <w:numPr>
          <w:ilvl w:val="0"/>
          <w:numId w:val="2"/>
        </w:numPr>
        <w:spacing w:after="30" w:before="30"/>
      </w:pPr>
      <w:r>
        <w:rPr>
          <w:rFonts w:ascii="Arial" w:cs="Arial" w:eastAsia="Arial" w:hAnsi="Arial"/>
          <w:b w:val="false"/>
          <w:bCs w:val="false"/>
          <w:sz w:val="20"/>
          <w:szCs w:val="20"/>
        </w:rPr>
        <w:t xml:space="preserve">Branch: Dropdown. Default: All.</w:t>
      </w:r>
    </w:p>
    <w:p>
      <w:pPr>
        <w:pStyle w:val="ListParagraph"/>
        <w:numPr>
          <w:ilvl w:val="0"/>
          <w:numId w:val="2"/>
        </w:numPr>
        <w:spacing w:after="30" w:before="30"/>
      </w:pPr>
      <w:r>
        <w:rPr>
          <w:rFonts w:ascii="Arial" w:cs="Arial" w:eastAsia="Arial" w:hAnsi="Arial"/>
          <w:b w:val="false"/>
          <w:bCs w:val="false"/>
          <w:sz w:val="20"/>
          <w:szCs w:val="20"/>
        </w:rPr>
        <w:t xml:space="preserve">Risk Level: Multi-select. Default: High and Medium.</w:t>
      </w:r>
    </w:p>
    <w:p>
      <w:pPr>
        <w:pStyle w:val="ListParagraph"/>
        <w:numPr>
          <w:ilvl w:val="0"/>
          <w:numId w:val="2"/>
        </w:numPr>
        <w:spacing w:after="30" w:before="30"/>
      </w:pPr>
      <w:r>
        <w:rPr>
          <w:rFonts w:ascii="Arial" w:cs="Arial" w:eastAsia="Arial" w:hAnsi="Arial"/>
          <w:b w:val="false"/>
          <w:bCs w:val="false"/>
          <w:sz w:val="20"/>
          <w:szCs w:val="20"/>
        </w:rPr>
        <w:t xml:space="preserve">Segment: Dropdown. Default: All.</w:t>
      </w:r>
    </w:p>
    <w:p>
      <w:pPr>
        <w:pStyle w:val="ListParagraph"/>
        <w:numPr>
          <w:ilvl w:val="0"/>
          <w:numId w:val="2"/>
        </w:numPr>
        <w:spacing w:after="30" w:before="30"/>
      </w:pPr>
      <w:r>
        <w:rPr>
          <w:rFonts w:ascii="Arial" w:cs="Arial" w:eastAsia="Arial" w:hAnsi="Arial"/>
          <w:b w:val="false"/>
          <w:bCs w:val="false"/>
          <w:sz w:val="20"/>
          <w:szCs w:val="20"/>
        </w:rPr>
        <w:t xml:space="preserve">Account Type: Dropdown. Default: All.</w:t>
      </w:r>
    </w:p>
    <w:p>
      <w:pPr>
        <w:spacing w:after="0" w:before="0"/>
      </w:pPr>
      <w:r>
        <w:rPr>
          <w:rFonts w:ascii="Arial" w:cs="Arial" w:eastAsia="Arial" w:hAnsi="Arial"/>
          <w:sz w:val="20"/>
          <w:szCs w:val="20"/>
        </w:rPr>
        <w:t xml:space="preserve"/>
      </w:r>
    </w:p>
    <w:p>
      <w:pPr>
        <w:pStyle w:val="Heading3"/>
        <w:spacing w:after="60" w:before="160"/>
      </w:pPr>
      <w:r>
        <w:rPr>
          <w:rFonts w:ascii="Arial" w:cs="Arial" w:eastAsia="Arial" w:hAnsi="Arial"/>
          <w:b/>
          <w:bCs/>
          <w:color w:val="34495E"/>
          <w:sz w:val="24"/>
          <w:szCs w:val="24"/>
        </w:rPr>
        <w:t xml:space="preserve">5.4.2  Summary Strip</w:t>
      </w:r>
    </w:p>
    <w:p>
      <w:pPr>
        <w:spacing w:after="60" w:before="60"/>
      </w:pPr>
      <w:r>
        <w:rPr>
          <w:rFonts w:ascii="Arial" w:cs="Arial" w:eastAsia="Arial" w:hAnsi="Arial"/>
          <w:b w:val="false"/>
          <w:bCs w:val="false"/>
          <w:color w:val="000000"/>
          <w:sz w:val="20"/>
          <w:szCs w:val="20"/>
        </w:rPr>
        <w:t xml:space="preserve">Four summary metrics are shown above the table, updating with filter selections: Customers Listed, High Risk count, Medium Risk count, and Deposits Exposed (OMR) for High and Medium risk customers.</w:t>
      </w:r>
    </w:p>
    <w:p>
      <w:pPr>
        <w:spacing w:after="0" w:before="0"/>
      </w:pPr>
      <w:r>
        <w:rPr>
          <w:rFonts w:ascii="Arial" w:cs="Arial" w:eastAsia="Arial" w:hAnsi="Arial"/>
          <w:sz w:val="20"/>
          <w:szCs w:val="20"/>
        </w:rPr>
        <w:t xml:space="preserve"/>
      </w:r>
    </w:p>
    <w:p>
      <w:pPr>
        <w:pStyle w:val="Heading3"/>
        <w:spacing w:after="60" w:before="160"/>
      </w:pPr>
      <w:r>
        <w:rPr>
          <w:rFonts w:ascii="Arial" w:cs="Arial" w:eastAsia="Arial" w:hAnsi="Arial"/>
          <w:b/>
          <w:bCs/>
          <w:color w:val="34495E"/>
          <w:sz w:val="24"/>
          <w:szCs w:val="24"/>
        </w:rPr>
        <w:t xml:space="preserve">5.4.3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9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Customer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customer identifier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Branch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Customer's home branch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Segment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HNI, SME, or Retail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Account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account type (Savings, Current, FD, 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or Inactive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Risk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badge: High, Medium, Low, or Safe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Balance (OMR)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deposit balance, formatted as integer with comma separator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Days Since Txn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Days elapsed since the last customer-initiated transaction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Active Signals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Comma-separated list of triggered signal labels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Recommended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Highest-priority action based on signal priority (see Section 4.4)</w:t>
            </w:r>
          </w:p>
        </w:tc>
      </w:tr>
    </w:tbl>
    <w:p>
      <w:pPr>
        <w:spacing w:after="0" w:before="0"/>
      </w:pPr>
      <w:r>
        <w:rPr>
          <w:rFonts w:ascii="Arial" w:cs="Arial" w:eastAsia="Arial" w:hAnsi="Arial"/>
          <w:sz w:val="20"/>
          <w:szCs w:val="20"/>
        </w:rPr>
        <w:t xml:space="preserve"/>
      </w:r>
    </w:p>
    <w:p>
      <w:pPr>
        <w:pStyle w:val="Heading3"/>
        <w:spacing w:after="60" w:before="160"/>
      </w:pPr>
      <w:r>
        <w:rPr>
          <w:rFonts w:ascii="Arial" w:cs="Arial" w:eastAsia="Arial" w:hAnsi="Arial"/>
          <w:b/>
          <w:bCs/>
          <w:color w:val="34495E"/>
          <w:sz w:val="24"/>
          <w:szCs w:val="24"/>
        </w:rPr>
        <w:t xml:space="preserve">5.4.4  Export</w:t>
      </w:r>
    </w:p>
    <w:p>
      <w:pPr>
        <w:spacing w:after="60" w:before="60"/>
      </w:pPr>
      <w:r>
        <w:rPr>
          <w:rFonts w:ascii="Arial" w:cs="Arial" w:eastAsia="Arial" w:hAnsi="Arial"/>
          <w:b w:val="false"/>
          <w:bCs w:val="false"/>
          <w:color w:val="000000"/>
          <w:sz w:val="20"/>
          <w:szCs w:val="20"/>
        </w:rPr>
        <w:t xml:space="preserve">An Export button triggers a CSV download of the currently displayed and filtered table. The filename includes the selected branch name for easy identification.</w:t>
      </w:r>
    </w:p>
    <w:p>
      <w:pPr>
        <w:spacing w:after="60" w:before="60"/>
      </w:pPr>
      <w:r>
        <w:rPr>
          <w:rFonts w:ascii="Arial" w:cs="Arial" w:eastAsia="Arial" w:hAnsi="Arial"/>
          <w:b w:val="false"/>
          <w:bCs w:val="false"/>
          <w:color w:val="000000"/>
          <w:sz w:val="20"/>
          <w:szCs w:val="20"/>
        </w:rPr>
        <w:t xml:space="preserve">Maximum rows returned: 500, sorted by risk level (High first) then balance descending.</w:t>
      </w:r>
    </w:p>
    <w:p>
      <w:pPr>
        <w:pStyle w:val="Heading2"/>
        <w:spacing w:after="80" w:before="240"/>
      </w:pPr>
      <w:r>
        <w:rPr>
          <w:rFonts w:ascii="Arial" w:cs="Arial" w:eastAsia="Arial" w:hAnsi="Arial"/>
          <w:b/>
          <w:bCs/>
          <w:color w:val="2C3E50"/>
          <w:sz w:val="28"/>
          <w:szCs w:val="28"/>
        </w:rPr>
        <w:t xml:space="preserve">5.5  Ask the Data Tab</w:t>
      </w:r>
    </w:p>
    <w:p>
      <w:pPr>
        <w:spacing w:after="60" w:before="60"/>
      </w:pPr>
      <w:r>
        <w:rPr>
          <w:rFonts w:ascii="Arial" w:cs="Arial" w:eastAsia="Arial" w:hAnsi="Arial"/>
          <w:b w:val="false"/>
          <w:bCs w:val="false"/>
          <w:color w:val="000000"/>
          <w:sz w:val="20"/>
          <w:szCs w:val="20"/>
        </w:rPr>
        <w:t xml:space="preserve">The Ask the Data tab allows users to query the customer database using plain English, without needing to write SQL. The system translates the question to a SQL SELECT query via the Groq AI API, executes it, and displays the results.</w:t>
      </w:r>
    </w:p>
    <w:p>
      <w:pPr>
        <w:spacing w:after="0" w:before="0"/>
      </w:pPr>
      <w:r>
        <w:rPr>
          <w:rFonts w:ascii="Arial" w:cs="Arial" w:eastAsia="Arial" w:hAnsi="Arial"/>
          <w:sz w:val="20"/>
          <w:szCs w:val="20"/>
        </w:rPr>
        <w:t xml:space="preserve"/>
      </w:r>
    </w:p>
    <w:p>
      <w:pPr>
        <w:pStyle w:val="Heading3"/>
        <w:spacing w:after="60" w:before="160"/>
      </w:pPr>
      <w:r>
        <w:rPr>
          <w:rFonts w:ascii="Arial" w:cs="Arial" w:eastAsia="Arial" w:hAnsi="Arial"/>
          <w:b/>
          <w:bCs/>
          <w:color w:val="34495E"/>
          <w:sz w:val="24"/>
          <w:szCs w:val="24"/>
        </w:rPr>
        <w:t xml:space="preserve">5.5.1  Question Input</w:t>
      </w:r>
    </w:p>
    <w:p>
      <w:pPr>
        <w:pStyle w:val="ListParagraph"/>
        <w:numPr>
          <w:ilvl w:val="0"/>
          <w:numId w:val="2"/>
        </w:numPr>
        <w:spacing w:after="30" w:before="30"/>
      </w:pPr>
      <w:r>
        <w:rPr>
          <w:rFonts w:ascii="Arial" w:cs="Arial" w:eastAsia="Arial" w:hAnsi="Arial"/>
          <w:b w:val="false"/>
          <w:bCs w:val="false"/>
          <w:sz w:val="20"/>
          <w:szCs w:val="20"/>
        </w:rPr>
        <w:t xml:space="preserve">A text area allows free-text entry of any question about the customer data.</w:t>
      </w:r>
    </w:p>
    <w:p>
      <w:pPr>
        <w:pStyle w:val="ListParagraph"/>
        <w:numPr>
          <w:ilvl w:val="0"/>
          <w:numId w:val="2"/>
        </w:numPr>
        <w:spacing w:after="30" w:before="30"/>
      </w:pPr>
      <w:r>
        <w:rPr>
          <w:rFonts w:ascii="Arial" w:cs="Arial" w:eastAsia="Arial" w:hAnsi="Arial"/>
          <w:b w:val="false"/>
          <w:bCs w:val="false"/>
          <w:sz w:val="20"/>
          <w:szCs w:val="20"/>
        </w:rPr>
        <w:t xml:space="preserve">Eight pre-built example questions are provided as clickable buttons to help users get started.</w:t>
      </w:r>
    </w:p>
    <w:p>
      <w:pPr>
        <w:pStyle w:val="ListParagraph"/>
        <w:numPr>
          <w:ilvl w:val="0"/>
          <w:numId w:val="2"/>
        </w:numPr>
        <w:spacing w:after="30" w:before="30"/>
      </w:pPr>
      <w:r>
        <w:rPr>
          <w:rFonts w:ascii="Arial" w:cs="Arial" w:eastAsia="Arial" w:hAnsi="Arial"/>
          <w:b w:val="false"/>
          <w:bCs w:val="false"/>
          <w:sz w:val="20"/>
          <w:szCs w:val="20"/>
        </w:rPr>
        <w:t xml:space="preserve">A Run button executes the query. A Clear button resets the input and results.</w:t>
      </w:r>
    </w:p>
    <w:p>
      <w:pPr>
        <w:spacing w:after="0" w:before="0"/>
      </w:pPr>
      <w:r>
        <w:rPr>
          <w:rFonts w:ascii="Arial" w:cs="Arial" w:eastAsia="Arial" w:hAnsi="Arial"/>
          <w:sz w:val="20"/>
          <w:szCs w:val="20"/>
        </w:rPr>
        <w:t xml:space="preserve"/>
      </w:r>
    </w:p>
    <w:p>
      <w:pPr>
        <w:pStyle w:val="Heading3"/>
        <w:spacing w:after="60" w:before="160"/>
      </w:pPr>
      <w:r>
        <w:rPr>
          <w:rFonts w:ascii="Arial" w:cs="Arial" w:eastAsia="Arial" w:hAnsi="Arial"/>
          <w:b/>
          <w:bCs/>
          <w:color w:val="34495E"/>
          <w:sz w:val="24"/>
          <w:szCs w:val="24"/>
        </w:rPr>
        <w:t xml:space="preserve">5.5.2  Query Execution</w:t>
      </w:r>
    </w:p>
    <w:p>
      <w:pPr>
        <w:pStyle w:val="ListParagraph"/>
        <w:numPr>
          <w:ilvl w:val="0"/>
          <w:numId w:val="2"/>
        </w:numPr>
        <w:spacing w:after="30" w:before="30"/>
      </w:pPr>
      <w:r>
        <w:rPr>
          <w:rFonts w:ascii="Arial" w:cs="Arial" w:eastAsia="Arial" w:hAnsi="Arial"/>
          <w:b w:val="false"/>
          <w:bCs w:val="false"/>
          <w:sz w:val="20"/>
          <w:szCs w:val="20"/>
        </w:rPr>
        <w:t xml:space="preserve">The question is sent to Groq's llama-3.1-8b-instant model, which generates a SQL SELECT statement.</w:t>
      </w:r>
    </w:p>
    <w:p>
      <w:pPr>
        <w:pStyle w:val="ListParagraph"/>
        <w:numPr>
          <w:ilvl w:val="0"/>
          <w:numId w:val="2"/>
        </w:numPr>
        <w:spacing w:after="30" w:before="30"/>
      </w:pPr>
      <w:r>
        <w:rPr>
          <w:rFonts w:ascii="Arial" w:cs="Arial" w:eastAsia="Arial" w:hAnsi="Arial"/>
          <w:b w:val="false"/>
          <w:bCs w:val="false"/>
          <w:sz w:val="20"/>
          <w:szCs w:val="20"/>
        </w:rPr>
        <w:t xml:space="preserve">Only SELECT statements are permitted. Any query beginning with a word other than SELECT is rejected with an error.</w:t>
      </w:r>
    </w:p>
    <w:p>
      <w:pPr>
        <w:pStyle w:val="ListParagraph"/>
        <w:numPr>
          <w:ilvl w:val="0"/>
          <w:numId w:val="2"/>
        </w:numPr>
        <w:spacing w:after="30" w:before="30"/>
      </w:pPr>
      <w:r>
        <w:rPr>
          <w:rFonts w:ascii="Arial" w:cs="Arial" w:eastAsia="Arial" w:hAnsi="Arial"/>
          <w:b w:val="false"/>
          <w:bCs w:val="false"/>
          <w:sz w:val="20"/>
          <w:szCs w:val="20"/>
        </w:rPr>
        <w:t xml:space="preserve">Results are returned as a paginated dataframe with a row count caption.</w:t>
      </w:r>
    </w:p>
    <w:p>
      <w:pPr>
        <w:pStyle w:val="ListParagraph"/>
        <w:numPr>
          <w:ilvl w:val="0"/>
          <w:numId w:val="2"/>
        </w:numPr>
        <w:spacing w:after="30" w:before="30"/>
      </w:pPr>
      <w:r>
        <w:rPr>
          <w:rFonts w:ascii="Arial" w:cs="Arial" w:eastAsia="Arial" w:hAnsi="Arial"/>
          <w:b w:val="false"/>
          <w:bCs w:val="false"/>
          <w:sz w:val="20"/>
          <w:szCs w:val="20"/>
        </w:rPr>
        <w:t xml:space="preserve">A collapsible panel shows the generated SQL for user verification.</w:t>
      </w:r>
    </w:p>
    <w:p>
      <w:pPr>
        <w:spacing w:after="0" w:before="0"/>
      </w:pPr>
      <w:r>
        <w:rPr>
          <w:rFonts w:ascii="Arial" w:cs="Arial" w:eastAsia="Arial" w:hAnsi="Arial"/>
          <w:sz w:val="20"/>
          <w:szCs w:val="20"/>
        </w:rPr>
        <w:t xml:space="preserve"/>
      </w:r>
    </w:p>
    <w:p>
      <w:pPr>
        <w:pStyle w:val="Heading3"/>
        <w:spacing w:after="60" w:before="160"/>
      </w:pPr>
      <w:r>
        <w:rPr>
          <w:rFonts w:ascii="Arial" w:cs="Arial" w:eastAsia="Arial" w:hAnsi="Arial"/>
          <w:b/>
          <w:bCs/>
          <w:color w:val="34495E"/>
          <w:sz w:val="24"/>
          <w:szCs w:val="24"/>
        </w:rPr>
        <w:t xml:space="preserve">5.5.3  Export</w:t>
      </w:r>
    </w:p>
    <w:p>
      <w:pPr>
        <w:spacing w:after="60" w:before="60"/>
      </w:pPr>
      <w:r>
        <w:rPr>
          <w:rFonts w:ascii="Arial" w:cs="Arial" w:eastAsia="Arial" w:hAnsi="Arial"/>
          <w:b w:val="false"/>
          <w:bCs w:val="false"/>
          <w:color w:val="000000"/>
          <w:sz w:val="20"/>
          <w:szCs w:val="20"/>
        </w:rPr>
        <w:t xml:space="preserve">A Download CSV button is available below the results table.</w:t>
      </w:r>
    </w:p>
    <w:p>
      <w:pPr>
        <w:spacing w:after="0" w:before="0"/>
      </w:pPr>
      <w:r>
        <w:rPr>
          <w:rFonts w:ascii="Arial" w:cs="Arial" w:eastAsia="Arial" w:hAnsi="Arial"/>
          <w:sz w:val="20"/>
          <w:szCs w:val="20"/>
        </w:rPr>
        <w:t xml:space="preserve"/>
      </w:r>
    </w:p>
    <w:p>
      <w:pPr>
        <w:pStyle w:val="Heading3"/>
        <w:spacing w:after="60" w:before="160"/>
      </w:pPr>
      <w:r>
        <w:rPr>
          <w:rFonts w:ascii="Arial" w:cs="Arial" w:eastAsia="Arial" w:hAnsi="Arial"/>
          <w:b/>
          <w:bCs/>
          <w:color w:val="34495E"/>
          <w:sz w:val="24"/>
          <w:szCs w:val="24"/>
        </w:rPr>
        <w:t xml:space="preserve">5.5.4  Example Questions</w:t>
      </w:r>
    </w:p>
    <w:p>
      <w:pPr>
        <w:pStyle w:val="ListParagraph"/>
        <w:numPr>
          <w:ilvl w:val="0"/>
          <w:numId w:val="2"/>
        </w:numPr>
        <w:spacing w:after="30" w:before="30"/>
      </w:pPr>
      <w:r>
        <w:rPr>
          <w:rFonts w:ascii="Arial" w:cs="Arial" w:eastAsia="Arial" w:hAnsi="Arial"/>
          <w:b w:val="false"/>
          <w:bCs w:val="false"/>
          <w:sz w:val="20"/>
          <w:szCs w:val="20"/>
        </w:rPr>
        <w:t xml:space="preserve">Show me all High risk customers in Muscat Main branch</w:t>
      </w:r>
    </w:p>
    <w:p>
      <w:pPr>
        <w:pStyle w:val="ListParagraph"/>
        <w:numPr>
          <w:ilvl w:val="0"/>
          <w:numId w:val="2"/>
        </w:numPr>
        <w:spacing w:after="30" w:before="30"/>
      </w:pPr>
      <w:r>
        <w:rPr>
          <w:rFonts w:ascii="Arial" w:cs="Arial" w:eastAsia="Arial" w:hAnsi="Arial"/>
          <w:b w:val="false"/>
          <w:bCs w:val="false"/>
          <w:sz w:val="20"/>
          <w:szCs w:val="20"/>
        </w:rPr>
        <w:t xml:space="preserve">Which branch has the most at-risk customers?</w:t>
      </w:r>
    </w:p>
    <w:p>
      <w:pPr>
        <w:pStyle w:val="ListParagraph"/>
        <w:numPr>
          <w:ilvl w:val="0"/>
          <w:numId w:val="2"/>
        </w:numPr>
        <w:spacing w:after="30" w:before="30"/>
      </w:pPr>
      <w:r>
        <w:rPr>
          <w:rFonts w:ascii="Arial" w:cs="Arial" w:eastAsia="Arial" w:hAnsi="Arial"/>
          <w:b w:val="false"/>
          <w:bCs w:val="false"/>
          <w:sz w:val="20"/>
          <w:szCs w:val="20"/>
        </w:rPr>
        <w:t xml:space="preserve">What is the average balance of HNI customers by risk level?</w:t>
      </w:r>
    </w:p>
    <w:p>
      <w:pPr>
        <w:pStyle w:val="ListParagraph"/>
        <w:numPr>
          <w:ilvl w:val="0"/>
          <w:numId w:val="2"/>
        </w:numPr>
        <w:spacing w:after="30" w:before="30"/>
      </w:pPr>
      <w:r>
        <w:rPr>
          <w:rFonts w:ascii="Arial" w:cs="Arial" w:eastAsia="Arial" w:hAnsi="Arial"/>
          <w:b w:val="false"/>
          <w:bCs w:val="false"/>
          <w:sz w:val="20"/>
          <w:szCs w:val="20"/>
        </w:rPr>
        <w:t xml:space="preserve">List churned customers who had a loan</w:t>
      </w:r>
    </w:p>
    <w:p>
      <w:pPr>
        <w:pStyle w:val="ListParagraph"/>
        <w:numPr>
          <w:ilvl w:val="0"/>
          <w:numId w:val="2"/>
        </w:numPr>
        <w:spacing w:after="30" w:before="30"/>
      </w:pPr>
      <w:r>
        <w:rPr>
          <w:rFonts w:ascii="Arial" w:cs="Arial" w:eastAsia="Arial" w:hAnsi="Arial"/>
          <w:b w:val="false"/>
          <w:bCs w:val="false"/>
          <w:sz w:val="20"/>
          <w:szCs w:val="20"/>
        </w:rPr>
        <w:t xml:space="preserve">How many customers are inactive per segment?</w:t>
      </w:r>
    </w:p>
    <w:p>
      <w:pPr>
        <w:pStyle w:val="ListParagraph"/>
        <w:numPr>
          <w:ilvl w:val="0"/>
          <w:numId w:val="2"/>
        </w:numPr>
        <w:spacing w:after="30" w:before="30"/>
      </w:pPr>
      <w:r>
        <w:rPr>
          <w:rFonts w:ascii="Arial" w:cs="Arial" w:eastAsia="Arial" w:hAnsi="Arial"/>
          <w:b w:val="false"/>
          <w:bCs w:val="false"/>
          <w:sz w:val="20"/>
          <w:szCs w:val="20"/>
        </w:rPr>
        <w:t xml:space="preserve">What are the top 10 customers by loan outstanding who are High risk?</w:t>
      </w:r>
    </w:p>
    <w:p>
      <w:pPr>
        <w:pStyle w:val="ListParagraph"/>
        <w:numPr>
          <w:ilvl w:val="0"/>
          <w:numId w:val="2"/>
        </w:numPr>
        <w:spacing w:after="30" w:before="30"/>
      </w:pPr>
      <w:r>
        <w:rPr>
          <w:rFonts w:ascii="Arial" w:cs="Arial" w:eastAsia="Arial" w:hAnsi="Arial"/>
          <w:b w:val="false"/>
          <w:bCs w:val="false"/>
          <w:sz w:val="20"/>
          <w:szCs w:val="20"/>
        </w:rPr>
        <w:t xml:space="preserve">Show attrition rate by account type</w:t>
      </w:r>
    </w:p>
    <w:p>
      <w:pPr>
        <w:pStyle w:val="ListParagraph"/>
        <w:numPr>
          <w:ilvl w:val="0"/>
          <w:numId w:val="2"/>
        </w:numPr>
        <w:spacing w:after="30" w:before="30"/>
      </w:pPr>
      <w:r>
        <w:rPr>
          <w:rFonts w:ascii="Arial" w:cs="Arial" w:eastAsia="Arial" w:hAnsi="Arial"/>
          <w:b w:val="false"/>
          <w:bCs w:val="false"/>
          <w:sz w:val="20"/>
          <w:szCs w:val="20"/>
        </w:rPr>
        <w:t xml:space="preserve">Which customers have more than 3 complaints and are still active?</w:t>
      </w:r>
    </w:p>
    <w:p>
      <w:pPr>
        <w:pStyle w:val="Heading2"/>
        <w:spacing w:after="80" w:before="240"/>
      </w:pPr>
      <w:r>
        <w:rPr>
          <w:rFonts w:ascii="Arial" w:cs="Arial" w:eastAsia="Arial" w:hAnsi="Arial"/>
          <w:b/>
          <w:bCs/>
          <w:color w:val="2C3E50"/>
          <w:sz w:val="28"/>
          <w:szCs w:val="28"/>
        </w:rPr>
        <w:t xml:space="preserve">5.6  Guide Tab</w:t>
      </w:r>
    </w:p>
    <w:p>
      <w:pPr>
        <w:spacing w:after="60" w:before="60"/>
      </w:pPr>
      <w:r>
        <w:rPr>
          <w:rFonts w:ascii="Arial" w:cs="Arial" w:eastAsia="Arial" w:hAnsi="Arial"/>
          <w:b w:val="false"/>
          <w:bCs w:val="false"/>
          <w:color w:val="000000"/>
          <w:sz w:val="20"/>
          <w:szCs w:val="20"/>
        </w:rPr>
        <w:t xml:space="preserve">The Guide tab is a built-in reference document within the dashboard. It is rendered in HTML via Streamlit markdown and covers: dashboard purpose, customer status definitions, risk level descriptions, the seven signal definitions, a tab-by-tab guide, recommended daily/weekly/monthly workflows, and a glossary of terms.</w:t>
      </w:r>
    </w:p>
    <w:p>
      <w:r>
        <w:br w:type="page"/>
      </w:r>
    </w:p>
    <w:p>
      <w:pPr>
        <w:pStyle w:val="Heading1"/>
        <w:pBdr>
          <w:bottom w:val="single" w:color="1565C0" w:sz="6" w:space="4"/>
        </w:pBdr>
        <w:spacing w:after="120" w:before="300"/>
      </w:pPr>
      <w:r>
        <w:rPr>
          <w:rFonts w:ascii="Arial" w:cs="Arial" w:eastAsia="Arial" w:hAnsi="Arial"/>
          <w:b/>
          <w:bCs/>
          <w:color w:val="1565C0"/>
          <w:sz w:val="36"/>
          <w:szCs w:val="36"/>
        </w:rPr>
        <w:t xml:space="preserve">6. Data Requirements</w:t>
      </w:r>
    </w:p>
    <w:p>
      <w:pPr>
        <w:pStyle w:val="Heading2"/>
        <w:spacing w:after="80" w:before="240"/>
      </w:pPr>
      <w:r>
        <w:rPr>
          <w:rFonts w:ascii="Arial" w:cs="Arial" w:eastAsia="Arial" w:hAnsi="Arial"/>
          <w:b/>
          <w:bCs/>
          <w:color w:val="2C3E50"/>
          <w:sz w:val="28"/>
          <w:szCs w:val="28"/>
        </w:rPr>
        <w:t xml:space="preserve">6.1  Input Data</w:t>
      </w:r>
    </w:p>
    <w:p>
      <w:pPr>
        <w:spacing w:after="60" w:before="60"/>
      </w:pPr>
      <w:r>
        <w:rPr>
          <w:rFonts w:ascii="Arial" w:cs="Arial" w:eastAsia="Arial" w:hAnsi="Arial"/>
          <w:b w:val="false"/>
          <w:bCs w:val="false"/>
          <w:color w:val="000000"/>
          <w:sz w:val="20"/>
          <w:szCs w:val="20"/>
        </w:rPr>
        <w:t xml:space="preserve">The system requires a customers table with one row per customer. The table must contain the columns defined in the Technical Specification. For production deployment, this table should be populated from the bank's core banking system on a scheduled basis (at minimum, daily refresh).</w:t>
      </w:r>
    </w:p>
    <w:p>
      <w:pPr>
        <w:spacing w:after="0" w:before="0"/>
      </w:pPr>
      <w:r>
        <w:rPr>
          <w:rFonts w:ascii="Arial" w:cs="Arial" w:eastAsia="Arial" w:hAnsi="Arial"/>
          <w:sz w:val="20"/>
          <w:szCs w:val="20"/>
        </w:rPr>
        <w:t xml:space="preserve"/>
      </w:r>
    </w:p>
    <w:p>
      <w:pPr>
        <w:pStyle w:val="Heading2"/>
        <w:spacing w:after="80" w:before="240"/>
      </w:pPr>
      <w:r>
        <w:rPr>
          <w:rFonts w:ascii="Arial" w:cs="Arial" w:eastAsia="Arial" w:hAnsi="Arial"/>
          <w:b/>
          <w:bCs/>
          <w:color w:val="2C3E50"/>
          <w:sz w:val="28"/>
          <w:szCs w:val="28"/>
        </w:rPr>
        <w:t xml:space="preserve">6.2  Synthetic Data (Development)</w:t>
      </w:r>
    </w:p>
    <w:p>
      <w:pPr>
        <w:spacing w:after="60" w:before="60"/>
      </w:pPr>
      <w:r>
        <w:rPr>
          <w:rFonts w:ascii="Arial" w:cs="Arial" w:eastAsia="Arial" w:hAnsi="Arial"/>
          <w:b w:val="false"/>
          <w:bCs w:val="false"/>
          <w:color w:val="000000"/>
          <w:sz w:val="20"/>
          <w:szCs w:val="20"/>
        </w:rPr>
        <w:t xml:space="preserve">A data_generator.py script generates a 5,000-row synthetic dataset for development and testing. It produces two output files: deposits.db (DuckDB binary) and customers.csv. The generator uses NumPy random distributions with a fixed seed (42) for reproducibility. Running it with a different seed or n parameter will produce different distributions.</w:t>
      </w:r>
    </w:p>
    <w:p>
      <w:pPr>
        <w:spacing w:after="0" w:before="0"/>
      </w:pPr>
      <w:r>
        <w:rPr>
          <w:rFonts w:ascii="Arial" w:cs="Arial" w:eastAsia="Arial" w:hAnsi="Arial"/>
          <w:sz w:val="20"/>
          <w:szCs w:val="20"/>
        </w:rPr>
        <w:t xml:space="preserve"/>
      </w:r>
    </w:p>
    <w:p>
      <w:pPr>
        <w:pStyle w:val="Heading2"/>
        <w:spacing w:after="80" w:before="240"/>
      </w:pPr>
      <w:r>
        <w:rPr>
          <w:rFonts w:ascii="Arial" w:cs="Arial" w:eastAsia="Arial" w:hAnsi="Arial"/>
          <w:b/>
          <w:bCs/>
          <w:color w:val="2C3E50"/>
          <w:sz w:val="28"/>
          <w:szCs w:val="28"/>
        </w:rPr>
        <w:t xml:space="preserve">6.3  Data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68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Synthetic dataset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 customers (configurable via N parameter)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Status breakdown (approx.)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67%, Inactive 13%, Churned 20%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Risk Level (Active+Inactive)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18%, Medium 27%, Low 38%, Safe 17%</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Branches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(Muscat Main, Muscat North, Muscat South, Salalah, Sohar, Nizwa, Sur, Ibri, Barka, Rustaq)</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Segments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Retail 65%, SME 25%, HNI 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Action List max rows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 per query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Customer drill-down max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per query</w:t>
            </w:r>
          </w:p>
        </w:tc>
      </w:tr>
    </w:tbl>
    <w:p>
      <w:pPr>
        <w:pStyle w:val="Heading1"/>
        <w:pBdr>
          <w:bottom w:val="single" w:color="1565C0" w:sz="6" w:space="4"/>
        </w:pBdr>
        <w:spacing w:after="120" w:before="300"/>
      </w:pPr>
      <w:r>
        <w:rPr>
          <w:rFonts w:ascii="Arial" w:cs="Arial" w:eastAsia="Arial" w:hAnsi="Arial"/>
          <w:b/>
          <w:bCs/>
          <w:color w:val="1565C0"/>
          <w:sz w:val="36"/>
          <w:szCs w:val="36"/>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9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Page load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should initialise within 3 seconds on first load. Cached queries respond within 500ms.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Query caching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data queries are cached via st.cache_data. Cache is cleared on app restart.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Read-only access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application performs only SELECT operations against the database. No data modification is possible.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NL query safety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Ask the Data tab enforces a whitelist check: only queries beginning with SELECT are executed.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API key storage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Groq API key is stored in .streamlit/secrets.toml (gitignored). Never hardcoded in source.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Drill-down UX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Drill-down navigation uses session state with Back buttons at every level. No page reloads.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Reliability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CSV fallback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the DuckDB binary file is absent (e.g. Streamlit Cloud), the application automatically falls back to loading data from the CSV file.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Maintainability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Modular pages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tab is a separate Python module in the pages/ directory. Adding a new tab requires only adding an import in app.py.</w:t>
            </w:r>
          </w:p>
        </w:tc>
      </w:tr>
    </w:tbl>
    <w:p>
      <w:pPr>
        <w:pStyle w:val="Heading1"/>
        <w:pBdr>
          <w:bottom w:val="single" w:color="1565C0" w:sz="6" w:space="4"/>
        </w:pBdr>
        <w:spacing w:after="120" w:before="300"/>
      </w:pPr>
      <w:r>
        <w:rPr>
          <w:rFonts w:ascii="Arial" w:cs="Arial" w:eastAsia="Arial" w:hAnsi="Arial"/>
          <w:b/>
          <w:bCs/>
          <w:color w:val="1565C0"/>
          <w:sz w:val="36"/>
          <w:szCs w:val="36"/>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68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At-Risk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customer classified as High or Medium risk based on active signal count.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Attrition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loss of a customer account, either through explicit closure or extended inactivity.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Churn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Synonymous with Attrition. A customer is considered churned when their account is closed or has been dormant for 365+ days.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Deposits Exposed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total OMR balance held by At-Risk (High + Medium) customers.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Dormant Account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 account with no customer-initiated transactions for 365 or more days. Treated as Churned.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FD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Deposit — a time-bound deposit product that matures at a specified date.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HNI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Net-worth Individual — a customer segment with balances typically above OMR 30,000.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NPS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Promoter Score. A customer satisfaction metric from 0 to 100. Scores of 30 or below indicate dissatisfaction (Detractor).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Recurring Deposit — a product requiring regular monthly contributions.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Signal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binary indicator on a customer record flagging a specific behavioural risk pattern.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 and Medium Enterprise — a business customer segment.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Groq</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 AI inference platform providing access to large language models via API. Used to power the Ask the Data tab.</w:t>
            </w:r>
          </w:p>
        </w:tc>
      </w:tr>
    </w:tbl>
    <w:sectPr>
      <w:headerReference w:type="default" r:id="rId7"/>
      <w:footerReference w:type="default" r:id="rId8"/>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tabs>
        <w:tab w:val="right" w:pos="9026"/>
      </w:tabs>
    </w:pPr>
    <w:r>
      <w:rPr>
        <w:rFonts w:ascii="Arial" w:cs="Arial" w:eastAsia="Arial" w:hAnsi="Arial"/>
        <w:i/>
        <w:iCs/>
        <w:color w:val="999999"/>
        <w:sz w:val="16"/>
        <w:szCs w:val="16"/>
      </w:rPr>
      <w:t xml:space="preserve">INTERNAL USE ONLY</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spacing w:after="80"/>
    </w:pPr>
    <w:r>
      <w:rPr>
        <w:rFonts w:ascii="Arial" w:cs="Arial" w:eastAsia="Arial" w:hAnsi="Arial"/>
        <w:b/>
        <w:bCs/>
        <w:color w:val="1565C0"/>
        <w:sz w:val="18"/>
        <w:szCs w:val="18"/>
      </w:rPr>
      <w:t xml:space="preserve">Deposits Attrition Intelligence</w:t>
    </w:r>
    <w:r>
      <w:rPr>
        <w:rFonts w:ascii="Arial" w:cs="Arial" w:eastAsia="Arial" w:hAnsi="Arial"/>
        <w:color w:val="666666"/>
        <w:sz w:val="18"/>
        <w:szCs w:val="18"/>
      </w:rPr>
      <w:t xml:space="preserve">   |   Function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565C0"/>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60" w:before="16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2026-04-05T17:17:33.343Z</dcterms:created>
  <dcterms:modified xsi:type="dcterms:W3CDTF">2026-04-05T17:17:33.344Z</dcterms:modified>
</cp:coreProperties>
</file>

<file path=docProps/custom.xml><?xml version="1.0" encoding="utf-8"?>
<Properties xmlns="http://schemas.openxmlformats.org/officeDocument/2006/custom-properties" xmlns:vt="http://schemas.openxmlformats.org/officeDocument/2006/docPropsVTypes"/>
</file>