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E5" w:rsidRDefault="002B1409" w:rsidP="002B1409">
      <w:pPr>
        <w:jc w:val="center"/>
        <w:rPr>
          <w:b/>
          <w:sz w:val="32"/>
          <w:szCs w:val="32"/>
          <w:u w:val="single"/>
        </w:rPr>
      </w:pPr>
      <w:proofErr w:type="spellStart"/>
      <w:r w:rsidRPr="002B1409">
        <w:rPr>
          <w:b/>
          <w:sz w:val="32"/>
          <w:szCs w:val="32"/>
          <w:u w:val="single"/>
        </w:rPr>
        <w:t>TestNG</w:t>
      </w:r>
      <w:proofErr w:type="spellEnd"/>
      <w:r w:rsidRPr="002B1409">
        <w:rPr>
          <w:b/>
          <w:sz w:val="32"/>
          <w:szCs w:val="32"/>
          <w:u w:val="single"/>
        </w:rPr>
        <w:t xml:space="preserve"> Tutorial</w:t>
      </w:r>
    </w:p>
    <w:p w:rsidR="002B1409" w:rsidRDefault="00EC7DE0" w:rsidP="002B1409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packages</w:t>
      </w:r>
      <w:proofErr w:type="gramEnd"/>
    </w:p>
    <w:p w:rsidR="002B1409" w:rsidRDefault="002B1409" w:rsidP="002B1409">
      <w:proofErr w:type="spellStart"/>
      <w:r>
        <w:t>Testng</w:t>
      </w:r>
      <w:proofErr w:type="spellEnd"/>
      <w:r>
        <w:t xml:space="preserve"> tutorial we can add the </w:t>
      </w:r>
      <w:proofErr w:type="gramStart"/>
      <w:r>
        <w:t>package ‘s</w:t>
      </w:r>
      <w:proofErr w:type="gramEnd"/>
      <w:r>
        <w:t xml:space="preserve"> also </w:t>
      </w:r>
    </w:p>
    <w:p w:rsidR="002B1409" w:rsidRDefault="002B1409" w:rsidP="002B1409">
      <w:r>
        <w:t>&lt;</w:t>
      </w:r>
      <w:proofErr w:type="gramStart"/>
      <w:r>
        <w:t>suite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test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packages</w:t>
      </w:r>
      <w:proofErr w:type="gramEnd"/>
      <w:r>
        <w:t xml:space="preserve">&gt; </w:t>
      </w:r>
    </w:p>
    <w:p w:rsidR="002B1409" w:rsidRDefault="002B1409" w:rsidP="002B1409">
      <w:r>
        <w:t>&lt;package name=</w:t>
      </w:r>
      <w:proofErr w:type="spellStart"/>
      <w:r>
        <w:t>com.test</w:t>
      </w:r>
      <w:proofErr w:type="spellEnd"/>
      <w:r>
        <w:t>/&gt;</w:t>
      </w:r>
    </w:p>
    <w:p w:rsidR="002B1409" w:rsidRDefault="002B1409" w:rsidP="002B1409">
      <w:r>
        <w:t>&lt;/packages&gt;</w:t>
      </w:r>
    </w:p>
    <w:p w:rsidR="002B1409" w:rsidRDefault="002B1409" w:rsidP="002B1409">
      <w:r>
        <w:t>&lt;/test&gt;</w:t>
      </w:r>
    </w:p>
    <w:p w:rsidR="002B1409" w:rsidRDefault="002B1409" w:rsidP="002B1409">
      <w:r>
        <w:t>&lt;/suite&gt;</w:t>
      </w:r>
    </w:p>
    <w:p w:rsidR="008525D1" w:rsidRDefault="008525D1" w:rsidP="002B1409">
      <w:r>
        <w:t xml:space="preserve">This will consider will retain all the classes that has </w:t>
      </w:r>
      <w:proofErr w:type="spellStart"/>
      <w:r>
        <w:t>TestNG</w:t>
      </w:r>
      <w:proofErr w:type="spellEnd"/>
      <w:r>
        <w:t xml:space="preserve"> notation</w:t>
      </w:r>
    </w:p>
    <w:p w:rsidR="00B06004" w:rsidRPr="00CB5D19" w:rsidRDefault="00EC7DE0" w:rsidP="00EC7DE0">
      <w:pPr>
        <w:jc w:val="center"/>
        <w:rPr>
          <w:b/>
          <w:u w:val="single"/>
        </w:rPr>
      </w:pPr>
      <w:r w:rsidRPr="00CB5D19">
        <w:rPr>
          <w:b/>
          <w:u w:val="single"/>
        </w:rPr>
        <w:t>To allow the Test to return the value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methods are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. Methods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that happen to return a value will be ignored, unless you set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allow-return-values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true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in your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testng.xml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&lt;suite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or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&lt;test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  <w:tr w:rsidR="00EC7DE0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  <w:r w:rsidRPr="00EC7DE0"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  <w:t>Groups of Groups</w:t>
            </w:r>
          </w:p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test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name="Regression1"&gt;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name="windows"/&gt;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linux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lastRenderedPageBreak/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checkintest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&lt;class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name="test.sample.Test1"/&gt;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&lt;/test&gt;</w:t>
                  </w:r>
                </w:p>
              </w:tc>
            </w:tr>
          </w:tbl>
          <w:p w:rsidR="00EC7DE0" w:rsidRPr="00B06004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B06004" w:rsidRPr="00393E63" w:rsidRDefault="00B06004" w:rsidP="00393E63">
      <w:pPr>
        <w:jc w:val="center"/>
        <w:rPr>
          <w:b/>
          <w:u w:val="single"/>
        </w:rPr>
      </w:pPr>
    </w:p>
    <w:p w:rsidR="00393E63" w:rsidRDefault="00393E63" w:rsidP="00393E63">
      <w:pPr>
        <w:jc w:val="center"/>
        <w:rPr>
          <w:b/>
          <w:u w:val="single"/>
        </w:rPr>
      </w:pPr>
      <w:r w:rsidRPr="00393E63">
        <w:rPr>
          <w:b/>
          <w:u w:val="single"/>
        </w:rPr>
        <w:t xml:space="preserve">Parameters in Test </w:t>
      </w:r>
      <w:proofErr w:type="spellStart"/>
      <w:r w:rsidRPr="00393E63">
        <w:rPr>
          <w:b/>
          <w:u w:val="single"/>
        </w:rPr>
        <w:t>ng</w:t>
      </w:r>
      <w:proofErr w:type="spellEnd"/>
    </w:p>
    <w:p w:rsidR="00393E63" w:rsidRDefault="00393E63" w:rsidP="00393E63">
      <w:r>
        <w:t>&lt;</w:t>
      </w:r>
      <w:proofErr w:type="gramStart"/>
      <w:r>
        <w:t>suite</w:t>
      </w:r>
      <w:proofErr w:type="gramEnd"/>
      <w:r>
        <w:t>&gt;</w:t>
      </w:r>
    </w:p>
    <w:p w:rsidR="00393E63" w:rsidRDefault="00393E63" w:rsidP="00393E63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93E63" w:rsidRDefault="00393E63" w:rsidP="00393E63">
      <w:r>
        <w:t>&lt;</w:t>
      </w:r>
      <w:proofErr w:type="gramStart"/>
      <w:r>
        <w:t>test</w:t>
      </w:r>
      <w:proofErr w:type="gramEnd"/>
      <w:r>
        <w:t>&gt;</w:t>
      </w:r>
    </w:p>
    <w:p w:rsidR="00393E63" w:rsidRDefault="00393E63" w:rsidP="00393E63">
      <w:r>
        <w:t>&lt;</w:t>
      </w:r>
      <w:proofErr w:type="gramStart"/>
      <w:r>
        <w:t>classes</w:t>
      </w:r>
      <w:proofErr w:type="gramEnd"/>
      <w:r>
        <w:t>&gt;</w:t>
      </w:r>
    </w:p>
    <w:p w:rsidR="00393E63" w:rsidRDefault="00393E63" w:rsidP="00393E63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93E63" w:rsidRDefault="00393E63" w:rsidP="00393E63">
      <w:r>
        <w:t>&lt;/classes&gt;</w:t>
      </w:r>
    </w:p>
    <w:p w:rsidR="00393E63" w:rsidRDefault="00393E63" w:rsidP="00393E63">
      <w:r>
        <w:t>&lt;/test&gt;</w:t>
      </w:r>
    </w:p>
    <w:p w:rsidR="00393E63" w:rsidRDefault="00393E63" w:rsidP="00393E63">
      <w:r>
        <w:t>&lt;/suite&gt;</w:t>
      </w:r>
    </w:p>
    <w:p w:rsidR="00906FFE" w:rsidRDefault="00906FFE" w:rsidP="00393E63"/>
    <w:p w:rsidR="00906FFE" w:rsidRDefault="00906FFE" w:rsidP="00393E63">
      <w:proofErr w:type="gramStart"/>
      <w:r>
        <w:t>@</w:t>
      </w:r>
      <w:proofErr w:type="spellStart"/>
      <w:r>
        <w:t>prameter</w:t>
      </w:r>
      <w:proofErr w:type="spellEnd"/>
      <w:r>
        <w:t>(</w:t>
      </w:r>
      <w:proofErr w:type="gramEnd"/>
      <w:r>
        <w:t>{“xyz”})</w:t>
      </w:r>
    </w:p>
    <w:p w:rsidR="00906FFE" w:rsidRDefault="00906FFE" w:rsidP="00393E63">
      <w:r>
        <w:t>@Test</w:t>
      </w:r>
    </w:p>
    <w:p w:rsidR="00906FFE" w:rsidRDefault="00906FFE" w:rsidP="00393E63">
      <w:r>
        <w:t xml:space="preserve">Public void </w:t>
      </w:r>
      <w:proofErr w:type="gramStart"/>
      <w:r>
        <w:t>test(</w:t>
      </w:r>
      <w:proofErr w:type="gramEnd"/>
      <w:r>
        <w:t>String parm1)</w:t>
      </w:r>
    </w:p>
    <w:p w:rsidR="00906FFE" w:rsidRDefault="00906FFE" w:rsidP="00393E63">
      <w:r>
        <w:t xml:space="preserve">{ </w:t>
      </w:r>
    </w:p>
    <w:p w:rsidR="00906FFE" w:rsidRDefault="00906FFE" w:rsidP="00393E63">
      <w:proofErr w:type="gramStart"/>
      <w:r>
        <w:t>Sop(</w:t>
      </w:r>
      <w:proofErr w:type="gramEnd"/>
      <w:r>
        <w:t>param1)</w:t>
      </w:r>
    </w:p>
    <w:p w:rsidR="00906FFE" w:rsidRDefault="00906FFE" w:rsidP="00393E63">
      <w:r>
        <w:t>}</w:t>
      </w:r>
    </w:p>
    <w:p w:rsidR="00AA0BEA" w:rsidRPr="0033308D" w:rsidRDefault="00AA0BEA" w:rsidP="00393E63">
      <w:pPr>
        <w:rPr>
          <w:b/>
          <w:sz w:val="36"/>
          <w:szCs w:val="36"/>
          <w:u w:val="single"/>
        </w:rPr>
      </w:pPr>
    </w:p>
    <w:p w:rsidR="00AA0BEA" w:rsidRDefault="00AA0BEA" w:rsidP="00393E63">
      <w:r w:rsidRPr="0033308D">
        <w:rPr>
          <w:b/>
          <w:sz w:val="36"/>
          <w:szCs w:val="36"/>
          <w:u w:val="single"/>
        </w:rPr>
        <w:t>Optional parameter</w:t>
      </w:r>
      <w:r>
        <w:t xml:space="preserve"> </w:t>
      </w:r>
      <w:r w:rsidR="0033308D">
        <w:t xml:space="preserve"> </w:t>
      </w:r>
      <w:r w:rsidR="0033308D">
        <w:tab/>
      </w:r>
    </w:p>
    <w:p w:rsidR="0033308D" w:rsidRDefault="0033308D" w:rsidP="00393E63"/>
    <w:p w:rsidR="0033308D" w:rsidRDefault="0033308D" w:rsidP="0033308D">
      <w:r>
        <w:t>&lt;</w:t>
      </w:r>
      <w:proofErr w:type="gramStart"/>
      <w:r>
        <w:t>suite</w:t>
      </w:r>
      <w:proofErr w:type="gramEnd"/>
      <w:r>
        <w:t>&gt;</w:t>
      </w:r>
    </w:p>
    <w:p w:rsidR="0033308D" w:rsidRDefault="0033308D" w:rsidP="0033308D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3308D" w:rsidRDefault="0033308D" w:rsidP="0033308D">
      <w:r>
        <w:t>&lt;</w:t>
      </w:r>
      <w:proofErr w:type="gramStart"/>
      <w:r>
        <w:t>test</w:t>
      </w:r>
      <w:proofErr w:type="gramEnd"/>
      <w:r>
        <w:t>&gt;</w:t>
      </w:r>
    </w:p>
    <w:p w:rsidR="0033308D" w:rsidRDefault="0033308D" w:rsidP="0033308D">
      <w:r>
        <w:t>&lt;</w:t>
      </w:r>
      <w:proofErr w:type="gramStart"/>
      <w:r>
        <w:t>classes</w:t>
      </w:r>
      <w:proofErr w:type="gramEnd"/>
      <w:r>
        <w:t>&gt;</w:t>
      </w:r>
    </w:p>
    <w:p w:rsidR="0033308D" w:rsidRDefault="0033308D" w:rsidP="0033308D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3308D" w:rsidRDefault="0033308D" w:rsidP="0033308D">
      <w:r>
        <w:t>&lt;/classes&gt;</w:t>
      </w:r>
    </w:p>
    <w:p w:rsidR="0033308D" w:rsidRDefault="0033308D" w:rsidP="0033308D">
      <w:r>
        <w:t>&lt;/test&gt;</w:t>
      </w:r>
    </w:p>
    <w:p w:rsidR="0033308D" w:rsidRDefault="0033308D" w:rsidP="0033308D">
      <w:r>
        <w:t>&lt;/suite&gt;</w:t>
      </w:r>
    </w:p>
    <w:p w:rsidR="0033308D" w:rsidRDefault="0033308D" w:rsidP="0033308D">
      <w:r>
        <w:t>Public void (@optional (“</w:t>
      </w:r>
      <w:proofErr w:type="spellStart"/>
      <w:r>
        <w:t>prasanna</w:t>
      </w:r>
      <w:proofErr w:type="spellEnd"/>
      <w:r>
        <w:t xml:space="preserve">”) String </w:t>
      </w:r>
      <w:proofErr w:type="gramStart"/>
      <w:r>
        <w:t>pram1 )</w:t>
      </w:r>
      <w:proofErr w:type="gramEnd"/>
    </w:p>
    <w:p w:rsidR="0033308D" w:rsidRDefault="0033308D" w:rsidP="0033308D">
      <w:proofErr w:type="gramStart"/>
      <w:r>
        <w:t>{ sop</w:t>
      </w:r>
      <w:proofErr w:type="gramEnd"/>
      <w:r>
        <w:t>(parm1)</w:t>
      </w:r>
    </w:p>
    <w:p w:rsidR="0033308D" w:rsidRDefault="0033308D" w:rsidP="0033308D">
      <w:r>
        <w:t>}</w:t>
      </w:r>
    </w:p>
    <w:p w:rsidR="00E258CD" w:rsidRDefault="00E258CD" w:rsidP="0033308D"/>
    <w:p w:rsidR="00E258CD" w:rsidRDefault="00E258CD" w:rsidP="0033308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On any method that already has 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@Before/After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or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@Factory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annotation</w:t>
      </w:r>
    </w:p>
    <w:p w:rsidR="00E258CD" w:rsidRPr="00250D43" w:rsidRDefault="00E258CD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</w:p>
    <w:p w:rsidR="00E258CD" w:rsidRDefault="00250D43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DataProvider</w:t>
      </w:r>
      <w:proofErr w:type="spellEnd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 xml:space="preserve"> in </w:t>
      </w: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TestNG</w:t>
      </w:r>
      <w:proofErr w:type="spellEnd"/>
    </w:p>
    <w:p w:rsidR="00250D43" w:rsidRDefault="00A238B6" w:rsidP="00250D43">
      <w:pPr>
        <w:rPr>
          <w:sz w:val="20"/>
          <w:szCs w:val="20"/>
        </w:rPr>
      </w:pPr>
      <w:hyperlink r:id="rId5" w:history="1">
        <w:r w:rsidR="00250D43" w:rsidRPr="0062682F">
          <w:rPr>
            <w:rStyle w:val="Hyperlink"/>
            <w:sz w:val="20"/>
            <w:szCs w:val="20"/>
          </w:rPr>
          <w:t>1.@Dataprovider(name=”prasanna”)</w:t>
        </w:r>
      </w:hyperlink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  object</w:t>
      </w:r>
      <w:proofErr w:type="gramEnd"/>
      <w:r>
        <w:rPr>
          <w:sz w:val="20"/>
          <w:szCs w:val="20"/>
        </w:rPr>
        <w:t xml:space="preserve">[][] </w:t>
      </w:r>
      <w:proofErr w:type="spellStart"/>
      <w:r>
        <w:rPr>
          <w:sz w:val="20"/>
          <w:szCs w:val="20"/>
        </w:rPr>
        <w:t>givedata</w:t>
      </w:r>
      <w:proofErr w:type="spellEnd"/>
      <w:r>
        <w:rPr>
          <w:sz w:val="20"/>
          <w:szCs w:val="20"/>
        </w:rPr>
        <w:t>()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Return new </w:t>
      </w:r>
      <w:proofErr w:type="gramStart"/>
      <w:r>
        <w:rPr>
          <w:sz w:val="20"/>
          <w:szCs w:val="20"/>
        </w:rPr>
        <w:t>object[</w:t>
      </w:r>
      <w:proofErr w:type="gramEnd"/>
      <w:r>
        <w:rPr>
          <w:sz w:val="20"/>
          <w:szCs w:val="20"/>
        </w:rPr>
        <w:t>][]{{“</w:t>
      </w:r>
      <w:proofErr w:type="spellStart"/>
      <w:r>
        <w:rPr>
          <w:sz w:val="20"/>
          <w:szCs w:val="20"/>
        </w:rPr>
        <w:t>prasanna”,”Testing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”},{“</w:t>
      </w:r>
      <w:proofErr w:type="spellStart"/>
      <w:r>
        <w:rPr>
          <w:sz w:val="20"/>
          <w:szCs w:val="20"/>
        </w:rPr>
        <w:t>MKV”,”TestNG</w:t>
      </w:r>
      <w:proofErr w:type="spellEnd"/>
      <w:r>
        <w:rPr>
          <w:sz w:val="20"/>
          <w:szCs w:val="20"/>
        </w:rPr>
        <w:t>”}};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@Test(</w:t>
      </w:r>
      <w:proofErr w:type="spellStart"/>
      <w:proofErr w:type="gramEnd"/>
      <w:r>
        <w:rPr>
          <w:sz w:val="20"/>
          <w:szCs w:val="20"/>
        </w:rPr>
        <w:t>dataprovider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prasanna</w:t>
      </w:r>
      <w:proofErr w:type="spellEnd"/>
      <w:r>
        <w:rPr>
          <w:sz w:val="20"/>
          <w:szCs w:val="20"/>
        </w:rPr>
        <w:t>”)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spellStart"/>
      <w:proofErr w:type="gramStart"/>
      <w:r>
        <w:rPr>
          <w:sz w:val="20"/>
          <w:szCs w:val="20"/>
        </w:rPr>
        <w:t>testdataprovider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String s1,String 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Sop(</w:t>
      </w:r>
      <w:proofErr w:type="gramEnd"/>
      <w:r>
        <w:rPr>
          <w:sz w:val="20"/>
          <w:szCs w:val="20"/>
        </w:rPr>
        <w:t>s1+s2)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95CD9" w:rsidRDefault="00495CD9" w:rsidP="00250D43">
      <w:pPr>
        <w:rPr>
          <w:sz w:val="20"/>
          <w:szCs w:val="20"/>
        </w:rPr>
      </w:pPr>
    </w:p>
    <w:p w:rsidR="00495CD9" w:rsidRDefault="00495CD9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sz w:val="20"/>
          <w:szCs w:val="20"/>
        </w:rPr>
        <w:t>--</w:t>
      </w:r>
      <w:r>
        <w:rPr>
          <w:rFonts w:ascii="Tahoma" w:hAnsi="Tahoma" w:cs="Tahoma"/>
          <w:color w:val="000000"/>
          <w:sz w:val="18"/>
          <w:szCs w:val="18"/>
        </w:rPr>
        <w:t>By default, the data provider will be looked for in the current test class or one of its base classes</w:t>
      </w:r>
    </w:p>
    <w:p w:rsidR="00A23E78" w:rsidRDefault="00A23E78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If you want to put your data provider in a different class, it needs to be a static method and you specify the class where it can be found in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the</w:t>
      </w:r>
      <w:r>
        <w:rPr>
          <w:rStyle w:val="HTMLTypewriter"/>
          <w:rFonts w:eastAsiaTheme="minorHAnsi"/>
          <w:color w:val="000000"/>
          <w:sz w:val="18"/>
          <w:szCs w:val="18"/>
        </w:rPr>
        <w:t>dataProviderClass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attribute: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(name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"create")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Object[][]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createData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Object[][]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  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 {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Integer(42) 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MyTest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2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@Test(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"create",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StaticProvider.class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test(Integer n)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// ...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DB1C5C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5C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DB1C5C" w:rsidRPr="00DB1C5C" w:rsidRDefault="00DB1C5C" w:rsidP="00DB1C5C">
            <w:pPr>
              <w:spacing w:before="100" w:beforeAutospacing="1" w:after="100" w:afterAutospacing="1" w:line="240" w:lineRule="auto"/>
              <w:outlineLvl w:val="4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0" w:name="dependencies-with-annotations"/>
            <w:r w:rsidRPr="00DB1C5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Dependencies with annotations</w:t>
            </w:r>
            <w:bookmarkEnd w:id="0"/>
          </w:p>
          <w:p w:rsidR="00DB1C5C" w:rsidRPr="00A23E78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A23E78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There are 2 ways of dependencies in 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1.Hard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dependencie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: this will run only when dependent method is run first and passed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@Test(</w:t>
      </w:r>
      <w:proofErr w:type="spellStart"/>
      <w:proofErr w:type="gramEnd"/>
      <w:r>
        <w:rPr>
          <w:rFonts w:ascii="Tahoma" w:hAnsi="Tahoma" w:cs="Tahoma"/>
          <w:color w:val="000000"/>
          <w:sz w:val="18"/>
          <w:szCs w:val="18"/>
        </w:rPr>
        <w:t>dependsonmethod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=”Test1”)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()</w:t>
      </w:r>
      <w:proofErr w:type="gramEnd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“show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@Test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“show test”)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will execute only when test method is passed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2.softdependencie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@Test(</w:t>
      </w:r>
      <w:proofErr w:type="spellStart"/>
      <w:proofErr w:type="gramEnd"/>
      <w:r>
        <w:rPr>
          <w:rFonts w:ascii="Tahoma" w:hAnsi="Tahoma" w:cs="Tahoma"/>
          <w:color w:val="000000"/>
          <w:sz w:val="18"/>
          <w:szCs w:val="18"/>
        </w:rPr>
        <w:t>dependsonmethod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=”Test1</w:t>
      </w:r>
      <w:r w:rsidRPr="000556F8">
        <w:rPr>
          <w:rFonts w:ascii="Tahoma" w:hAnsi="Tahoma" w:cs="Tahoma"/>
          <w:color w:val="000000"/>
          <w:sz w:val="18"/>
          <w:szCs w:val="18"/>
        </w:rPr>
        <w:t>”,</w:t>
      </w:r>
      <w:r>
        <w:rPr>
          <w:rFonts w:ascii="Tahoma" w:hAnsi="Tahoma" w:cs="Tahoma"/>
          <w:color w:val="000000"/>
          <w:sz w:val="18"/>
          <w:szCs w:val="18"/>
        </w:rPr>
        <w:t>alwaysrun=true)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Public void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()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“show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@Test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“show test”)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Assert.fail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This will ensure that test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methoed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would run first even when this fails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will run</w:t>
      </w:r>
    </w:p>
    <w:p w:rsidR="003D1BCE" w:rsidRDefault="003D1BCE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-If a method depended upon fails and you have a hard dependency on it (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</w:rPr>
        <w:t>alwaysRun</w:t>
      </w:r>
      <w:proofErr w:type="spellEnd"/>
      <w:r>
        <w:rPr>
          <w:rStyle w:val="HTMLTypewriter"/>
          <w:rFonts w:eastAsiaTheme="minorHAnsi"/>
          <w:color w:val="000000"/>
          <w:sz w:val="18"/>
          <w:szCs w:val="18"/>
        </w:rPr>
        <w:t>=false</w:t>
      </w:r>
      <w:r>
        <w:rPr>
          <w:rFonts w:ascii="Tahoma" w:hAnsi="Tahoma" w:cs="Tahoma"/>
          <w:color w:val="000000"/>
          <w:sz w:val="18"/>
          <w:szCs w:val="18"/>
        </w:rPr>
        <w:t>, which is the default), the methods that depend on it are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not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marked as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FAIL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but as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SKIP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404D46">
      <w:pPr>
        <w:pStyle w:val="Heading4"/>
        <w:rPr>
          <w:rFonts w:ascii="Tahoma" w:hAnsi="Tahoma" w:cs="Tahoma"/>
          <w:color w:val="000000"/>
          <w:sz w:val="18"/>
          <w:szCs w:val="18"/>
        </w:rPr>
      </w:pPr>
      <w:bookmarkStart w:id="1" w:name="testng-listeners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Listeners</w:t>
      </w:r>
      <w:bookmarkEnd w:id="1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How to specify 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listener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suite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Listners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listener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class-name=”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org.prasanna.Report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”/&gt;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&lt;listener class-name=”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org.prasanna.test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” /&gt;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&lt;/listeners&gt;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Another way to provide the listeners is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Listner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{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org.prasanna.report,org.prasanna.test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})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Style w:val="HTMLTypewriter"/>
          <w:rFonts w:eastAsiaTheme="minorHAnsi"/>
          <w:color w:val="000000"/>
          <w:sz w:val="18"/>
          <w:szCs w:val="18"/>
        </w:rPr>
        <w:t>@Listeners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annotation can contain any class that extends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org.testng.ITestNGListener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except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IAnnotationTransformer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and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IAnnotationTransformer2</w:t>
      </w:r>
      <w:r>
        <w:rPr>
          <w:rFonts w:ascii="Tahoma" w:hAnsi="Tahoma" w:cs="Tahoma"/>
          <w:color w:val="000000"/>
          <w:sz w:val="18"/>
          <w:szCs w:val="18"/>
        </w:rPr>
        <w:t xml:space="preserve">. The reason is that these listeners need to be known very early in the process so that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can use them to rewrite your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annotations,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therefore you need to specify these listeners in your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testng.xml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file.</w:t>
      </w:r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Pr="007B4D52" w:rsidRDefault="007B4D52" w:rsidP="007B4D52">
      <w:pPr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7B4D52">
        <w:rPr>
          <w:rFonts w:ascii="Tahoma" w:hAnsi="Tahoma" w:cs="Tahoma"/>
          <w:b/>
          <w:color w:val="000000"/>
          <w:sz w:val="28"/>
          <w:szCs w:val="28"/>
          <w:u w:val="single"/>
        </w:rPr>
        <w:t xml:space="preserve">Listening to method </w:t>
      </w:r>
      <w:proofErr w:type="gramStart"/>
      <w:r w:rsidRPr="007B4D52">
        <w:rPr>
          <w:rFonts w:ascii="Tahoma" w:hAnsi="Tahoma" w:cs="Tahoma"/>
          <w:b/>
          <w:color w:val="000000"/>
          <w:sz w:val="28"/>
          <w:szCs w:val="28"/>
          <w:u w:val="single"/>
        </w:rPr>
        <w:t>invocation :</w:t>
      </w:r>
      <w:proofErr w:type="gramEnd"/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Any class that implements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IinvokemethodlistListner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would have to override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interface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IInvokedMethodListener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extends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ITestNGListener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  void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beforeInvocation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method,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  void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afterInvocation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method,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suite) 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----suite is started"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suite) 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---- suite is finished"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291FDB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So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will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devide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methoeds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that it need to execute in two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parts :</w:t>
      </w:r>
      <w:proofErr w:type="gramEnd"/>
    </w:p>
    <w:p w:rsidR="00291FDB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1.methoeds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that need to be executed in sequence that methods that has dependencies and dependents </w:t>
      </w:r>
    </w:p>
    <w:p w:rsidR="00291FDB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2.methoeds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that can run in any order </w:t>
      </w:r>
    </w:p>
    <w:p w:rsidR="00291FDB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To handle these methods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tesng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 gives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you the interface </w:t>
      </w:r>
    </w:p>
    <w:p w:rsidR="00291FDB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1"/>
      </w:tblGrid>
      <w:tr w:rsidR="00291FDB" w:rsidRPr="00291FDB" w:rsidTr="00291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B" w:rsidRPr="00291FDB" w:rsidRDefault="00291FDB" w:rsidP="0029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291F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interface</w:t>
            </w:r>
            <w:r w:rsidRPr="00291F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IMethodInterceptor</w:t>
            </w:r>
            <w:proofErr w:type="spellEnd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291FDB" w:rsidRPr="00291FDB" w:rsidRDefault="00291FDB" w:rsidP="00291FDB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"/>
      </w:tblGrid>
      <w:tr w:rsidR="00291FDB" w:rsidRPr="00291FDB" w:rsidTr="00291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B" w:rsidRPr="00291FDB" w:rsidRDefault="00291FDB" w:rsidP="0029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  </w:t>
            </w:r>
            <w:r w:rsidRPr="00291F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291FDB" w:rsidRPr="00291FDB" w:rsidRDefault="00291FDB" w:rsidP="00291FDB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291FDB" w:rsidRPr="00291FDB" w:rsidTr="00291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B" w:rsidRPr="00291FDB" w:rsidRDefault="00291FDB" w:rsidP="0029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  List&lt;</w:t>
            </w:r>
            <w:proofErr w:type="spellStart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IMethodInstance</w:t>
            </w:r>
            <w:proofErr w:type="spellEnd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&gt; intercept(List&lt;</w:t>
            </w:r>
            <w:proofErr w:type="spellStart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IMethodInstance</w:t>
            </w:r>
            <w:proofErr w:type="spellEnd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methods, </w:t>
            </w:r>
            <w:proofErr w:type="spellStart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ITestContext</w:t>
            </w:r>
            <w:proofErr w:type="spellEnd"/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context);</w:t>
            </w:r>
          </w:p>
        </w:tc>
      </w:tr>
    </w:tbl>
    <w:p w:rsidR="00291FDB" w:rsidRPr="00291FDB" w:rsidRDefault="00291FDB" w:rsidP="00291FDB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291FDB" w:rsidRPr="00291FDB" w:rsidTr="00291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B" w:rsidRPr="00291FDB" w:rsidRDefault="00291FDB" w:rsidP="0029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F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291FDB" w:rsidRPr="00291FDB" w:rsidRDefault="00291FDB" w:rsidP="00291FDB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291FDB" w:rsidRPr="00291FDB" w:rsidTr="00291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FDB" w:rsidRPr="00291FDB" w:rsidRDefault="00291FDB" w:rsidP="0029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FDB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291FDB" w:rsidRPr="00A23E78" w:rsidRDefault="00291FDB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</w:t>
      </w:r>
    </w:p>
    <w:sectPr w:rsidR="00291FDB" w:rsidRPr="00A23E78" w:rsidSect="00BB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09"/>
    <w:rsid w:val="000556F8"/>
    <w:rsid w:val="00250D43"/>
    <w:rsid w:val="00291FDB"/>
    <w:rsid w:val="002B1409"/>
    <w:rsid w:val="0033308D"/>
    <w:rsid w:val="00393E63"/>
    <w:rsid w:val="003D1BCE"/>
    <w:rsid w:val="00404D46"/>
    <w:rsid w:val="00495CD9"/>
    <w:rsid w:val="004F1982"/>
    <w:rsid w:val="007B4D52"/>
    <w:rsid w:val="008525D1"/>
    <w:rsid w:val="00906FFE"/>
    <w:rsid w:val="00A238B6"/>
    <w:rsid w:val="00A23E78"/>
    <w:rsid w:val="00AA0BEA"/>
    <w:rsid w:val="00B06004"/>
    <w:rsid w:val="00BB50E5"/>
    <w:rsid w:val="00CB5D19"/>
    <w:rsid w:val="00DB1C5C"/>
    <w:rsid w:val="00E258CD"/>
    <w:rsid w:val="00E3362C"/>
    <w:rsid w:val="00EC7DE0"/>
    <w:rsid w:val="00F1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E5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B1C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6004"/>
  </w:style>
  <w:style w:type="character" w:styleId="HTMLTypewriter">
    <w:name w:val="HTML Typewriter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D4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B1C5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.@Dataprovider(name=&#8221;prasanna&#8221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3D9D3-5260-4995-AFFD-B3EA5163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17</cp:revision>
  <dcterms:created xsi:type="dcterms:W3CDTF">2015-04-03T16:29:00Z</dcterms:created>
  <dcterms:modified xsi:type="dcterms:W3CDTF">2015-04-30T18:38:00Z</dcterms:modified>
</cp:coreProperties>
</file>