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CloudTrail Cost Spike — Root Cause Analysis &amp; Remediation</w:t>
      </w:r>
    </w:p>
    <w:p>
      <w:pPr>
        <w:jc w:val="center"/>
      </w:pPr>
      <w:r>
        <w:rPr>
          <w:color w:val="595659"/>
          <w:sz w:val="22"/>
        </w:rPr>
        <w:t>config_aggregator.py ECS Task  |  Recurring Elevated Cost  |  Feb 2026</w:t>
      </w:r>
    </w:p>
    <w:p/>
    <w:tbl>
      <w:tblPr>
        <w:tblStyle w:val="TableGrid"/>
        <w:tblW w:type="auto" w:w="0"/>
        <w:jc w:val="center"/>
        <w:tblLook w:firstColumn="1" w:firstRow="1" w:lastColumn="0" w:lastRow="0" w:noHBand="0" w:noVBand="1" w:val="04A0"/>
      </w:tblPr>
      <w:tblGrid>
        <w:gridCol w:w="4320"/>
        <w:gridCol w:w="4320"/>
      </w:tblGrid>
      <w:tr>
        <w:tc>
          <w:tcPr>
            <w:tcW w:type="dxa" w:w="2880"/>
            <w:shd w:fill="2E74B5" w:val="clear"/>
          </w:tcPr>
          <w:p>
            <w:r>
              <w:rPr>
                <w:b/>
                <w:color w:val="FFFFFF"/>
                <w:sz w:val="18"/>
              </w:rPr>
              <w:t>Field</w:t>
            </w:r>
          </w:p>
        </w:tc>
        <w:tc>
          <w:tcPr>
            <w:tcW w:type="dxa" w:w="6480"/>
            <w:shd w:fill="2E74B5" w:val="clear"/>
          </w:tcPr>
          <w:p>
            <w:r>
              <w:rPr>
                <w:b/>
                <w:color w:val="FFFFFF"/>
                <w:sz w:val="18"/>
              </w:rPr>
              <w:t>Value</w:t>
            </w:r>
          </w:p>
        </w:tc>
      </w:tr>
      <w:tr>
        <w:tc>
          <w:tcPr>
            <w:tcW w:type="dxa" w:w="2880"/>
          </w:tcPr>
          <w:p>
            <w:r>
              <w:rPr>
                <w:sz w:val="18"/>
              </w:rPr>
              <w:t>Incident Period</w:t>
            </w:r>
          </w:p>
        </w:tc>
        <w:tc>
          <w:tcPr>
            <w:tcW w:type="dxa" w:w="6480"/>
          </w:tcPr>
          <w:p>
            <w:r>
              <w:rPr>
                <w:sz w:val="18"/>
              </w:rPr>
              <w:t>February 5–6, 2026 (recurring on every scheduled ECS run)</w:t>
            </w:r>
          </w:p>
        </w:tc>
      </w:tr>
      <w:tr>
        <w:tc>
          <w:tcPr>
            <w:tcW w:type="dxa" w:w="2880"/>
            <w:shd w:fill="DEEAF6" w:val="clear"/>
          </w:tcPr>
          <w:p>
            <w:r>
              <w:rPr>
                <w:sz w:val="18"/>
              </w:rPr>
              <w:t>Affected Component</w:t>
            </w:r>
          </w:p>
        </w:tc>
        <w:tc>
          <w:tcPr>
            <w:tcW w:type="dxa" w:w="6480"/>
            <w:shd w:fill="DEEAF6" w:val="clear"/>
          </w:tcPr>
          <w:p>
            <w:r>
              <w:rPr>
                <w:sz w:val="18"/>
              </w:rPr>
              <w:t>config_aggregator.py ECS Task — every run; worst case ~12 hours on Feb 5-6</w:t>
            </w:r>
          </w:p>
        </w:tc>
      </w:tr>
      <w:tr>
        <w:tc>
          <w:tcPr>
            <w:tcW w:type="dxa" w:w="2880"/>
          </w:tcPr>
          <w:p>
            <w:r>
              <w:rPr>
                <w:sz w:val="18"/>
              </w:rPr>
              <w:t>Primary Cost Driver</w:t>
            </w:r>
          </w:p>
        </w:tc>
        <w:tc>
          <w:tcPr>
            <w:tcW w:type="dxa" w:w="6480"/>
          </w:tcPr>
          <w:p>
            <w:r>
              <w:rPr>
                <w:sz w:val="18"/>
              </w:rPr>
              <w:t>USE2-PaidEventsRecorded + USE2-InsightsEvents</w:t>
            </w:r>
          </w:p>
        </w:tc>
      </w:tr>
      <w:tr>
        <w:tc>
          <w:tcPr>
            <w:tcW w:type="dxa" w:w="2880"/>
            <w:shd w:fill="DEEAF6" w:val="clear"/>
          </w:tcPr>
          <w:p>
            <w:r>
              <w:rPr>
                <w:sz w:val="18"/>
              </w:rPr>
              <w:t>Cost Increase</w:t>
            </w:r>
          </w:p>
        </w:tc>
        <w:tc>
          <w:tcPr>
            <w:tcW w:type="dxa" w:w="6480"/>
            <w:shd w:fill="DEEAF6" w:val="clear"/>
          </w:tcPr>
          <w:p>
            <w:r>
              <w:rPr>
                <w:sz w:val="18"/>
              </w:rPr>
              <w:t>~600% peak (Feb 5-6); recurring elevated cost on subsequent runs</w:t>
            </w:r>
          </w:p>
        </w:tc>
      </w:tr>
      <w:tr>
        <w:tc>
          <w:tcPr>
            <w:tcW w:type="dxa" w:w="2880"/>
          </w:tcPr>
          <w:p>
            <w:r>
              <w:rPr>
                <w:sz w:val="18"/>
              </w:rPr>
              <w:t>Confirmed Trigger</w:t>
            </w:r>
          </w:p>
        </w:tc>
        <w:tc>
          <w:tcPr>
            <w:tcW w:type="dxa" w:w="6480"/>
          </w:tcPr>
          <w:p>
            <w:r>
              <w:rPr>
                <w:sz w:val="18"/>
              </w:rPr>
              <w:t>Uncached API calls active on every run; 12-hour outlier amplified Feb 5-6</w:t>
            </w:r>
          </w:p>
        </w:tc>
      </w:tr>
      <w:tr>
        <w:tc>
          <w:tcPr>
            <w:tcW w:type="dxa" w:w="2880"/>
            <w:shd w:fill="DEEAF6" w:val="clear"/>
          </w:tcPr>
          <w:p>
            <w:r>
              <w:rPr>
                <w:sz w:val="18"/>
              </w:rPr>
              <w:t>Secondary Driver</w:t>
            </w:r>
          </w:p>
        </w:tc>
        <w:tc>
          <w:tcPr>
            <w:tcW w:type="dxa" w:w="6480"/>
            <w:shd w:fill="DEEAF6" w:val="clear"/>
          </w:tcPr>
          <w:p>
            <w:r>
              <w:rPr>
                <w:sz w:val="18"/>
              </w:rPr>
              <w:t>CloudTrail Insights triggering on abnormal API call volume</w:t>
            </w:r>
          </w:p>
        </w:tc>
      </w:tr>
      <w:tr>
        <w:tc>
          <w:tcPr>
            <w:tcW w:type="dxa" w:w="2880"/>
          </w:tcPr>
          <w:p>
            <w:r>
              <w:rPr>
                <w:sz w:val="18"/>
              </w:rPr>
              <w:t>Security Risk</w:t>
            </w:r>
          </w:p>
        </w:tc>
        <w:tc>
          <w:tcPr>
            <w:tcW w:type="dxa" w:w="6480"/>
          </w:tcPr>
          <w:p>
            <w:r>
              <w:rPr>
                <w:sz w:val="18"/>
              </w:rPr>
              <w:t>Low — logging functioning correctly</w:t>
            </w:r>
          </w:p>
        </w:tc>
      </w:tr>
    </w:tbl>
    <w:p>
      <w:pPr>
        <w:pStyle w:val="Heading1"/>
      </w:pPr>
      <w:r>
        <w:t>1. What Happened</w:t>
      </w:r>
    </w:p>
    <w:p>
      <w:r>
        <w:t>CloudTrail costs increased by approximately 600% beginning February 5–6, 2026, with a recurring elevated pattern on subsequent scheduled ECS runs. Cost Explorer confirms two dominant cost drivers: USE2-PaidEventsRecorded and USE2-InsightsEvents.</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fill="2E74B5" w:val="clear"/>
          </w:tcPr>
          <w:p>
            <w:r>
              <w:rPr>
                <w:b/>
                <w:color w:val="FFFFFF"/>
                <w:sz w:val="18"/>
              </w:rPr>
              <w:t>Period</w:t>
            </w:r>
          </w:p>
        </w:tc>
        <w:tc>
          <w:tcPr>
            <w:tcW w:type="dxa" w:w="2592"/>
            <w:shd w:fill="2E74B5" w:val="clear"/>
          </w:tcPr>
          <w:p>
            <w:r>
              <w:rPr>
                <w:b/>
                <w:color w:val="FFFFFF"/>
                <w:sz w:val="18"/>
              </w:rPr>
              <w:t>Approx Relative Cost</w:t>
            </w:r>
          </w:p>
        </w:tc>
        <w:tc>
          <w:tcPr>
            <w:tcW w:type="dxa" w:w="5040"/>
            <w:shd w:fill="2E74B5" w:val="clear"/>
          </w:tcPr>
          <w:p>
            <w:r>
              <w:rPr>
                <w:b/>
                <w:color w:val="FFFFFF"/>
                <w:sz w:val="18"/>
              </w:rPr>
              <w:t>Spike Drivers</w:t>
            </w:r>
          </w:p>
        </w:tc>
      </w:tr>
      <w:tr>
        <w:tc>
          <w:tcPr>
            <w:tcW w:type="dxa" w:w="1728"/>
          </w:tcPr>
          <w:p>
            <w:r>
              <w:rPr>
                <w:sz w:val="18"/>
              </w:rPr>
              <w:t>Feb 1-3</w:t>
            </w:r>
          </w:p>
        </w:tc>
        <w:tc>
          <w:tcPr>
            <w:tcW w:type="dxa" w:w="2592"/>
          </w:tcPr>
          <w:p>
            <w:r>
              <w:rPr>
                <w:sz w:val="18"/>
              </w:rPr>
              <w:t>Baseline (~50-100)</w:t>
            </w:r>
          </w:p>
        </w:tc>
        <w:tc>
          <w:tcPr>
            <w:tcW w:type="dxa" w:w="5040"/>
          </w:tcPr>
          <w:p>
            <w:r>
              <w:rPr>
                <w:sz w:val="18"/>
              </w:rPr>
              <w:t>Normal</w:t>
            </w:r>
          </w:p>
        </w:tc>
      </w:tr>
      <w:tr>
        <w:tc>
          <w:tcPr>
            <w:tcW w:type="dxa" w:w="1728"/>
            <w:shd w:fill="DEEAF6" w:val="clear"/>
          </w:tcPr>
          <w:p>
            <w:r>
              <w:rPr>
                <w:sz w:val="18"/>
              </w:rPr>
              <w:t>Feb 5-6</w:t>
            </w:r>
          </w:p>
        </w:tc>
        <w:tc>
          <w:tcPr>
            <w:tcW w:type="dxa" w:w="2592"/>
            <w:shd w:fill="DEEAF6" w:val="clear"/>
          </w:tcPr>
          <w:p>
            <w:r>
              <w:rPr>
                <w:sz w:val="18"/>
              </w:rPr>
              <w:t>Peak (~1,300-1,400)</w:t>
            </w:r>
          </w:p>
        </w:tc>
        <w:tc>
          <w:tcPr>
            <w:tcW w:type="dxa" w:w="5040"/>
            <w:shd w:fill="DEEAF6" w:val="clear"/>
          </w:tcPr>
          <w:p>
            <w:r>
              <w:rPr>
                <w:sz w:val="18"/>
              </w:rPr>
              <w:t>PaidEventsRecorded + InsightsEvents — 12-hour ECS run</w:t>
            </w:r>
          </w:p>
        </w:tc>
      </w:tr>
      <w:tr>
        <w:tc>
          <w:tcPr>
            <w:tcW w:type="dxa" w:w="1728"/>
          </w:tcPr>
          <w:p>
            <w:r>
              <w:rPr>
                <w:sz w:val="18"/>
              </w:rPr>
              <w:t>Feb 7-9</w:t>
            </w:r>
          </w:p>
        </w:tc>
        <w:tc>
          <w:tcPr>
            <w:tcW w:type="dxa" w:w="2592"/>
          </w:tcPr>
          <w:p>
            <w:r>
              <w:rPr>
                <w:sz w:val="18"/>
              </w:rPr>
              <w:t>Elevated (~300-450)</w:t>
            </w:r>
          </w:p>
        </w:tc>
        <w:tc>
          <w:tcPr>
            <w:tcW w:type="dxa" w:w="5040"/>
          </w:tcPr>
          <w:p>
            <w:r>
              <w:rPr>
                <w:sz w:val="18"/>
              </w:rPr>
              <w:t>PaidEventsRecorded — subsequent ECS runs</w:t>
            </w:r>
          </w:p>
        </w:tc>
      </w:tr>
      <w:tr>
        <w:tc>
          <w:tcPr>
            <w:tcW w:type="dxa" w:w="1728"/>
            <w:shd w:fill="DEEAF6" w:val="clear"/>
          </w:tcPr>
          <w:p>
            <w:r>
              <w:rPr>
                <w:sz w:val="18"/>
              </w:rPr>
              <w:t>Feb 9-10</w:t>
            </w:r>
          </w:p>
        </w:tc>
        <w:tc>
          <w:tcPr>
            <w:tcW w:type="dxa" w:w="2592"/>
            <w:shd w:fill="DEEAF6" w:val="clear"/>
          </w:tcPr>
          <w:p>
            <w:r>
              <w:rPr>
                <w:sz w:val="18"/>
              </w:rPr>
              <w:t>Near baseline</w:t>
            </w:r>
          </w:p>
        </w:tc>
        <w:tc>
          <w:tcPr>
            <w:tcW w:type="dxa" w:w="5040"/>
            <w:shd w:fill="DEEAF6" w:val="clear"/>
          </w:tcPr>
          <w:p>
            <w:r>
              <w:rPr>
                <w:sz w:val="18"/>
              </w:rPr>
              <w:t>—</w:t>
            </w:r>
          </w:p>
        </w:tc>
      </w:tr>
      <w:tr>
        <w:tc>
          <w:tcPr>
            <w:tcW w:type="dxa" w:w="1728"/>
          </w:tcPr>
          <w:p>
            <w:r>
              <w:rPr>
                <w:sz w:val="18"/>
              </w:rPr>
              <w:t>Feb 11-13</w:t>
            </w:r>
          </w:p>
        </w:tc>
        <w:tc>
          <w:tcPr>
            <w:tcW w:type="dxa" w:w="2592"/>
          </w:tcPr>
          <w:p>
            <w:r>
              <w:rPr>
                <w:sz w:val="18"/>
              </w:rPr>
              <w:t>High (~700-800)</w:t>
            </w:r>
          </w:p>
        </w:tc>
        <w:tc>
          <w:tcPr>
            <w:tcW w:type="dxa" w:w="5040"/>
          </w:tcPr>
          <w:p>
            <w:r>
              <w:rPr>
                <w:sz w:val="18"/>
              </w:rPr>
              <w:t>PaidEventsRecorded + InsightsEvents — further ECS runs</w:t>
            </w:r>
          </w:p>
        </w:tc>
      </w:tr>
      <w:tr>
        <w:tc>
          <w:tcPr>
            <w:tcW w:type="dxa" w:w="1728"/>
            <w:shd w:fill="DEEAF6" w:val="clear"/>
          </w:tcPr>
          <w:p>
            <w:r>
              <w:rPr>
                <w:sz w:val="18"/>
              </w:rPr>
              <w:t>Feb 14-16</w:t>
            </w:r>
          </w:p>
        </w:tc>
        <w:tc>
          <w:tcPr>
            <w:tcW w:type="dxa" w:w="2592"/>
            <w:shd w:fill="DEEAF6" w:val="clear"/>
          </w:tcPr>
          <w:p>
            <w:r>
              <w:rPr>
                <w:sz w:val="18"/>
              </w:rPr>
              <w:t>Near baseline</w:t>
            </w:r>
          </w:p>
        </w:tc>
        <w:tc>
          <w:tcPr>
            <w:tcW w:type="dxa" w:w="5040"/>
            <w:shd w:fill="DEEAF6" w:val="clear"/>
          </w:tcPr>
          <w:p>
            <w:r>
              <w:rPr>
                <w:sz w:val="18"/>
              </w:rPr>
              <w:t>—</w:t>
            </w:r>
          </w:p>
        </w:tc>
      </w:tr>
      <w:tr>
        <w:tc>
          <w:tcPr>
            <w:tcW w:type="dxa" w:w="1728"/>
          </w:tcPr>
          <w:p>
            <w:r>
              <w:rPr>
                <w:sz w:val="18"/>
              </w:rPr>
              <w:t>Feb 17</w:t>
            </w:r>
          </w:p>
        </w:tc>
        <w:tc>
          <w:tcPr>
            <w:tcW w:type="dxa" w:w="2592"/>
          </w:tcPr>
          <w:p>
            <w:r>
              <w:rPr>
                <w:sz w:val="18"/>
              </w:rPr>
              <w:t>Slightly elevated</w:t>
            </w:r>
          </w:p>
        </w:tc>
        <w:tc>
          <w:tcPr>
            <w:tcW w:type="dxa" w:w="5040"/>
          </w:tcPr>
          <w:p>
            <w:r>
              <w:rPr>
                <w:sz w:val="18"/>
              </w:rPr>
              <w:t>Next scheduled run</w:t>
            </w:r>
          </w:p>
        </w:tc>
      </w:tr>
    </w:tbl>
    <w:p/>
    <w:p>
      <w:r>
        <w:t>The spike was NOT caused by trail creation or a Config rule deployment. The Feb 5-6 worst-case spike was triggered by the ECS task running ~12 hours. However, the recurring elevated pattern on other days confirms the root cause is active on every normal scheduled run — the 12-hour outlier simply made it catastrophic.</w:t>
      </w:r>
    </w:p>
    <w:p>
      <w:r>
        <w:rPr>
          <w:b/>
        </w:rPr>
        <w:t>The USE2-InsightsEvents cost component:</w:t>
      </w:r>
    </w:p>
    <w:p>
      <w:r>
        <w:t>CloudTrail Insights monitors API call rates and charges when it detects abnormal volume. Its appearance on Feb 5 and Feb 11-13 means the ECS task generated enough API calls to trigger CloudTrail's own anomaly detection. This creates a compounding cost: charged once for PaidEventsRecorded, and again for InsightsEvents analysis on top.</w:t>
      </w:r>
    </w:p>
    <w:tbl>
      <w:tblPr>
        <w:tblStyle w:val="TableGrid"/>
        <w:tblW w:type="auto" w:w="0"/>
        <w:jc w:val="center"/>
        <w:tblLook w:firstColumn="1" w:firstRow="1" w:lastColumn="0" w:lastRow="0" w:noHBand="0" w:noVBand="1" w:val="04A0"/>
      </w:tblPr>
      <w:tblGrid>
        <w:gridCol w:w="4320"/>
        <w:gridCol w:w="4320"/>
      </w:tblGrid>
      <w:tr>
        <w:tc>
          <w:tcPr>
            <w:tcW w:type="dxa" w:w="5040"/>
            <w:shd w:fill="2E74B5" w:val="clear"/>
          </w:tcPr>
          <w:p>
            <w:r>
              <w:rPr>
                <w:b/>
                <w:color w:val="FFFFFF"/>
                <w:sz w:val="18"/>
              </w:rPr>
              <w:t>Trail Name</w:t>
            </w:r>
          </w:p>
        </w:tc>
        <w:tc>
          <w:tcPr>
            <w:tcW w:type="dxa" w:w="4320"/>
            <w:shd w:fill="2E74B5" w:val="clear"/>
          </w:tcPr>
          <w:p>
            <w:r>
              <w:rPr>
                <w:b/>
                <w:color w:val="FFFFFF"/>
                <w:sz w:val="18"/>
              </w:rPr>
              <w:t>Scope</w:t>
            </w:r>
          </w:p>
        </w:tc>
      </w:tr>
      <w:tr>
        <w:tc>
          <w:tcPr>
            <w:tcW w:type="dxa" w:w="5040"/>
          </w:tcPr>
          <w:p>
            <w:r>
              <w:rPr>
                <w:sz w:val="18"/>
              </w:rPr>
              <w:t>aws-controltower-BaselineCloudTrail</w:t>
            </w:r>
          </w:p>
        </w:tc>
        <w:tc>
          <w:tcPr>
            <w:tcW w:type="dxa" w:w="4320"/>
          </w:tcPr>
          <w:p>
            <w:r>
              <w:rPr>
                <w:sz w:val="18"/>
              </w:rPr>
              <w:t>Org-wide, Multi-Region</w:t>
            </w:r>
          </w:p>
        </w:tc>
      </w:tr>
      <w:tr>
        <w:tc>
          <w:tcPr>
            <w:tcW w:type="dxa" w:w="5040"/>
            <w:shd w:fill="DEEAF6" w:val="clear"/>
          </w:tcPr>
          <w:p>
            <w:r>
              <w:rPr>
                <w:sz w:val="18"/>
              </w:rPr>
              <w:t>aws-aft-CustomizationsCloudTrail</w:t>
            </w:r>
          </w:p>
        </w:tc>
        <w:tc>
          <w:tcPr>
            <w:tcW w:type="dxa" w:w="4320"/>
            <w:shd w:fill="DEEAF6" w:val="clear"/>
          </w:tcPr>
          <w:p>
            <w:r>
              <w:rPr>
                <w:sz w:val="18"/>
              </w:rPr>
              <w:t>Org-wide, Multi-Region</w:t>
            </w:r>
          </w:p>
        </w:tc>
      </w:tr>
    </w:tbl>
    <w:p>
      <w:pPr>
        <w:pStyle w:val="Heading1"/>
      </w:pPr>
      <w:r>
        <w:t>2. Why It Happened — Root Causes</w:t>
      </w:r>
    </w:p>
    <w:p>
      <w:pPr>
        <w:pStyle w:val="Heading2"/>
      </w:pPr>
      <w:r>
        <w:t>Root Cause 1: ECS Task Ran ~12 Hours — Runtime Multiplier</w:t>
      </w:r>
    </w:p>
    <w:p>
      <w:r>
        <w:t>The config_aggregator.py ECS task ran for approximately 12 continuous hours on Feb 5–6 instead of completing in its expected shorter window. This is the primary trigger for the cost spike.</w:t>
      </w:r>
    </w:p>
    <w:p>
      <w:r>
        <w:t>Because check_account() fires one uncached DynamoDB Query per resource and get_rule_description() fires paginated Config API calls per rule x account x region, the total management event count scales linearly with task runtime. A 12-hour run vs. a 1-hour run produces roughly 12x the API call volume — directly explaining the ~600% spike.</w:t>
      </w:r>
    </w:p>
    <w:p>
      <w:r>
        <w:rPr>
          <w:b/>
        </w:rPr>
        <w:t>Likely causes of the extended runtime (to be confirmed via ECS logs):</w:t>
      </w:r>
    </w:p>
    <w:p>
      <w:pPr>
        <w:pStyle w:val="ListBullet"/>
      </w:pPr>
      <w:r>
        <w:t>A much larger non-compliant resource result set than typical (larger pagination loop).</w:t>
      </w:r>
    </w:p>
    <w:p>
      <w:pPr>
        <w:pStyle w:val="ListBullet"/>
      </w:pPr>
      <w:r>
        <w:t>API throttling causing the built-in retry/sleep loop to stall (ThrottlingException -&gt; time.sleep(3 * tries), up to 3 retries per call).</w:t>
      </w:r>
    </w:p>
    <w:p>
      <w:pPr>
        <w:pStyle w:val="ListBullet"/>
      </w:pPr>
      <w:r>
        <w:t>get_rule_description() paginating over an unexpectedly large annotation result set.</w:t>
      </w:r>
    </w:p>
    <w:p>
      <w:pPr>
        <w:pStyle w:val="ListBullet"/>
      </w:pPr>
      <w:r>
        <w:t>No task-level timeout or ECS stopTimeout configured, allowing the container to run indefinitely.</w:t>
      </w:r>
    </w:p>
    <w:p>
      <w:pPr>
        <w:pStyle w:val="Heading2"/>
      </w:pPr>
      <w:r>
        <w:t>Root Cause 2: check_account() Called Per Resource Without Caching</w:t>
      </w:r>
    </w:p>
    <w:p>
      <w:r>
        <w:t>In config_aggregator.py, the function check_account() queries DynamoDB on every non-compliant resource iteration inside the main processing loop. There is no caching on this function, unlike get_account_name_cached() which already uses an account_cache dict.</w:t>
      </w:r>
    </w:p>
    <w:p>
      <w:r>
        <w:rPr>
          <w:rFonts w:ascii="Courier New" w:hAnsi="Courier New"/>
          <w:sz w:val="16"/>
        </w:rPr>
        <w:t># Line 428 — called inside the per-resource loop</w:t>
        <w:br/>
        <w:t>is_one_dot_zero = check_account(account_name)</w:t>
      </w:r>
    </w:p>
    <w:p>
      <w:r>
        <w:t>Every DynamoDB Query is a management event recorded to CloudTrail. Processing 5,000 non-compliant resources across 50 accounts fires 5,000 DynamoDB Query calls per run instead of 50. Over a 12-hour run, this is amplified further.</w:t>
      </w:r>
    </w:p>
    <w:tbl>
      <w:tblPr>
        <w:tblStyle w:val="TableGrid"/>
        <w:tblW w:type="auto" w:w="0"/>
        <w:jc w:val="center"/>
        <w:tblLook w:firstColumn="1" w:firstRow="1" w:lastColumn="0" w:lastRow="0" w:noHBand="0" w:noVBand="1" w:val="04A0"/>
      </w:tblPr>
      <w:tblGrid>
        <w:gridCol w:w="4320"/>
        <w:gridCol w:w="4320"/>
      </w:tblGrid>
      <w:tr>
        <w:tc>
          <w:tcPr>
            <w:tcW w:type="dxa" w:w="4320"/>
            <w:shd w:fill="2E74B5" w:val="clear"/>
          </w:tcPr>
          <w:p>
            <w:r>
              <w:rPr>
                <w:b/>
                <w:color w:val="FFFFFF"/>
                <w:sz w:val="18"/>
              </w:rPr>
              <w:t>Scenario</w:t>
            </w:r>
          </w:p>
        </w:tc>
        <w:tc>
          <w:tcPr>
            <w:tcW w:type="dxa" w:w="5040"/>
            <w:shd w:fill="2E74B5" w:val="clear"/>
          </w:tcPr>
          <w:p>
            <w:r>
              <w:rPr>
                <w:b/>
                <w:color w:val="FFFFFF"/>
                <w:sz w:val="18"/>
              </w:rPr>
              <w:t>DynamoDB Calls per Run</w:t>
            </w:r>
          </w:p>
        </w:tc>
      </w:tr>
      <w:tr>
        <w:tc>
          <w:tcPr>
            <w:tcW w:type="dxa" w:w="4320"/>
          </w:tcPr>
          <w:p>
            <w:r>
              <w:rPr>
                <w:sz w:val="18"/>
              </w:rPr>
              <w:t>Before fix (no cache)</w:t>
            </w:r>
          </w:p>
        </w:tc>
        <w:tc>
          <w:tcPr>
            <w:tcW w:type="dxa" w:w="5040"/>
          </w:tcPr>
          <w:p>
            <w:r>
              <w:rPr>
                <w:sz w:val="18"/>
              </w:rPr>
              <w:t>1 per resource (thousands)</w:t>
            </w:r>
          </w:p>
        </w:tc>
      </w:tr>
      <w:tr>
        <w:tc>
          <w:tcPr>
            <w:tcW w:type="dxa" w:w="4320"/>
            <w:shd w:fill="DEEAF6" w:val="clear"/>
          </w:tcPr>
          <w:p>
            <w:r>
              <w:rPr>
                <w:sz w:val="18"/>
              </w:rPr>
              <w:t>After fix (cached by account name)</w:t>
            </w:r>
          </w:p>
        </w:tc>
        <w:tc>
          <w:tcPr>
            <w:tcW w:type="dxa" w:w="5040"/>
            <w:shd w:fill="DEEAF6" w:val="clear"/>
          </w:tcPr>
          <w:p>
            <w:r>
              <w:rPr>
                <w:sz w:val="18"/>
              </w:rPr>
              <w:t>1 per unique account (50–100)</w:t>
            </w:r>
          </w:p>
        </w:tc>
      </w:tr>
    </w:tbl>
    <w:p/>
    <w:p>
      <w:pPr>
        <w:pStyle w:val="Heading2"/>
      </w:pPr>
      <w:r>
        <w:t>Root Cause 3: get_rule_description() — Paginated Config API Calls Per Rule x Account x Region</w:t>
      </w:r>
    </w:p>
    <w:p>
      <w:r>
        <w:t>The cache key in get_rule_description() is (rule_name, account_id, region). Every unique combination triggers a GetAggregateComplianceDetailsByConfigRule paginator call, which may issue multiple API pages per cache miss.</w:t>
      </w:r>
    </w:p>
    <w:p>
      <w:r>
        <w:rPr>
          <w:rFonts w:ascii="Courier New" w:hAnsi="Courier New"/>
          <w:sz w:val="16"/>
        </w:rPr>
        <w:t># Called inside per-resource, per-rule inner loop</w:t>
        <w:br/>
        <w:t>annotation = get_rule_description(rule.get('configRuleName'), account_id, region, rule_ann)</w:t>
      </w:r>
    </w:p>
    <w:p>
      <w:r>
        <w:t>At scale: 20 rules x 100 accounts x 5 regions = 10,000+ Config API calls per run, each a paid management event. Over a 12-hour extended run, cache misses accumulate and the paginator may stall on large result sets.</w:t>
      </w:r>
    </w:p>
    <w:p>
      <w:pPr>
        <w:pStyle w:val="Heading2"/>
      </w:pPr>
      <w:r>
        <w:t>Root Cause 4: boto3 Clients Created Inside Hot-Path Loops</w:t>
      </w:r>
    </w:p>
    <w:p>
      <w:r>
        <w:t>boto3 client objects are created inside functions or loops that execute on every iteration rather than once at module level.</w:t>
      </w:r>
    </w:p>
    <w:p>
      <w:r>
        <w:rPr>
          <w:rFonts w:ascii="Courier New" w:hAnsi="Courier New"/>
          <w:sz w:val="16"/>
        </w:rPr>
        <w:t># get_rule_description() — line 195 — new client on every cache miss</w:t>
        <w:br/>
        <w:t>client = boto3.client('config', region_name=REGION, config=Config(retries={...}))</w:t>
        <w:br/>
        <w:br/>
        <w:t># S3 upload loop — line 492 — new client per account group</w:t>
        <w:br/>
        <w:t>s3 = boto3.client('s3', region_name=REGION)</w:t>
      </w:r>
    </w:p>
    <w:p>
      <w:r>
        <w:t>If role chaining is in use, repeated client creation triggers sts:AssumeRole or sts:GetSessionToken calls — additional management events on every iteration.</w:t>
      </w:r>
    </w:p>
    <w:p>
      <w:pPr>
        <w:pStyle w:val="Heading1"/>
      </w:pPr>
      <w:r>
        <w:t>3. Timeline Correlation</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fill="2E74B5" w:val="clear"/>
          </w:tcPr>
          <w:p>
            <w:r>
              <w:rPr>
                <w:b/>
                <w:color w:val="FFFFFF"/>
                <w:sz w:val="18"/>
              </w:rPr>
              <w:t>Date / Window</w:t>
            </w:r>
          </w:p>
        </w:tc>
        <w:tc>
          <w:tcPr>
            <w:tcW w:type="dxa" w:w="3600"/>
            <w:shd w:fill="2E74B5" w:val="clear"/>
          </w:tcPr>
          <w:p>
            <w:r>
              <w:rPr>
                <w:b/>
                <w:color w:val="FFFFFF"/>
                <w:sz w:val="18"/>
              </w:rPr>
              <w:t>Event</w:t>
            </w:r>
          </w:p>
        </w:tc>
        <w:tc>
          <w:tcPr>
            <w:tcW w:type="dxa" w:w="4032"/>
            <w:shd w:fill="2E74B5" w:val="clear"/>
          </w:tcPr>
          <w:p>
            <w:r>
              <w:rPr>
                <w:b/>
                <w:color w:val="FFFFFF"/>
                <w:sz w:val="18"/>
              </w:rPr>
              <w:t>CloudTrail Impact</w:t>
            </w:r>
          </w:p>
        </w:tc>
      </w:tr>
      <w:tr>
        <w:tc>
          <w:tcPr>
            <w:tcW w:type="dxa" w:w="1728"/>
          </w:tcPr>
          <w:p>
            <w:r>
              <w:rPr>
                <w:sz w:val="18"/>
              </w:rPr>
              <w:t>Feb 1-3</w:t>
            </w:r>
          </w:p>
        </w:tc>
        <w:tc>
          <w:tcPr>
            <w:tcW w:type="dxa" w:w="3600"/>
          </w:tcPr>
          <w:p>
            <w:r>
              <w:rPr>
                <w:sz w:val="18"/>
              </w:rPr>
              <w:t>Baseline normal operation</w:t>
            </w:r>
          </w:p>
        </w:tc>
        <w:tc>
          <w:tcPr>
            <w:tcW w:type="dxa" w:w="4032"/>
          </w:tcPr>
          <w:p>
            <w:r>
              <w:rPr>
                <w:sz w:val="18"/>
              </w:rPr>
              <w:t>Normal management event volume</w:t>
            </w:r>
          </w:p>
        </w:tc>
      </w:tr>
      <w:tr>
        <w:tc>
          <w:tcPr>
            <w:tcW w:type="dxa" w:w="1728"/>
            <w:shd w:fill="DEEAF6" w:val="clear"/>
          </w:tcPr>
          <w:p>
            <w:r>
              <w:rPr>
                <w:sz w:val="18"/>
              </w:rPr>
              <w:t>Feb 5-6 (~12 hrs)</w:t>
            </w:r>
          </w:p>
        </w:tc>
        <w:tc>
          <w:tcPr>
            <w:tcW w:type="dxa" w:w="3600"/>
            <w:shd w:fill="DEEAF6" w:val="clear"/>
          </w:tcPr>
          <w:p>
            <w:r>
              <w:rPr>
                <w:sz w:val="18"/>
              </w:rPr>
              <w:t>ECS task ran continuously for ~12 hours</w:t>
            </w:r>
          </w:p>
        </w:tc>
        <w:tc>
          <w:tcPr>
            <w:tcW w:type="dxa" w:w="4032"/>
            <w:shd w:fill="DEEAF6" w:val="clear"/>
          </w:tcPr>
          <w:p>
            <w:r>
              <w:rPr>
                <w:sz w:val="18"/>
              </w:rPr>
              <w:t>Peak spike: uncached calls x 12-hour duration + Insights anomaly triggered</w:t>
            </w:r>
          </w:p>
        </w:tc>
      </w:tr>
      <w:tr>
        <w:tc>
          <w:tcPr>
            <w:tcW w:type="dxa" w:w="1728"/>
          </w:tcPr>
          <w:p>
            <w:r>
              <w:rPr>
                <w:sz w:val="18"/>
              </w:rPr>
              <w:t>Feb 7-9</w:t>
            </w:r>
          </w:p>
        </w:tc>
        <w:tc>
          <w:tcPr>
            <w:tcW w:type="dxa" w:w="3600"/>
          </w:tcPr>
          <w:p>
            <w:r>
              <w:rPr>
                <w:sz w:val="18"/>
              </w:rPr>
              <w:t>Subsequent scheduled ECS runs (normal duration)</w:t>
            </w:r>
          </w:p>
        </w:tc>
        <w:tc>
          <w:tcPr>
            <w:tcW w:type="dxa" w:w="4032"/>
          </w:tcPr>
          <w:p>
            <w:r>
              <w:rPr>
                <w:sz w:val="18"/>
              </w:rPr>
              <w:t>Still elevated — check_account() uncached on every run</w:t>
            </w:r>
          </w:p>
        </w:tc>
      </w:tr>
      <w:tr>
        <w:tc>
          <w:tcPr>
            <w:tcW w:type="dxa" w:w="1728"/>
            <w:shd w:fill="DEEAF6" w:val="clear"/>
          </w:tcPr>
          <w:p>
            <w:r>
              <w:rPr>
                <w:sz w:val="18"/>
              </w:rPr>
              <w:t>Feb 11-13</w:t>
            </w:r>
          </w:p>
        </w:tc>
        <w:tc>
          <w:tcPr>
            <w:tcW w:type="dxa" w:w="3600"/>
            <w:shd w:fill="DEEAF6" w:val="clear"/>
          </w:tcPr>
          <w:p>
            <w:r>
              <w:rPr>
                <w:sz w:val="18"/>
              </w:rPr>
              <w:t>Further scheduled ECS runs</w:t>
            </w:r>
          </w:p>
        </w:tc>
        <w:tc>
          <w:tcPr>
            <w:tcW w:type="dxa" w:w="4032"/>
            <w:shd w:fill="DEEAF6" w:val="clear"/>
          </w:tcPr>
          <w:p>
            <w:r>
              <w:rPr>
                <w:sz w:val="18"/>
              </w:rPr>
              <w:t>Second significant spike — Insights events triggered again</w:t>
            </w:r>
          </w:p>
        </w:tc>
      </w:tr>
      <w:tr>
        <w:tc>
          <w:tcPr>
            <w:tcW w:type="dxa" w:w="1728"/>
          </w:tcPr>
          <w:p>
            <w:r>
              <w:rPr>
                <w:sz w:val="18"/>
              </w:rPr>
              <w:t>Feb 14-16</w:t>
            </w:r>
          </w:p>
        </w:tc>
        <w:tc>
          <w:tcPr>
            <w:tcW w:type="dxa" w:w="3600"/>
          </w:tcPr>
          <w:p>
            <w:r>
              <w:rPr>
                <w:sz w:val="18"/>
              </w:rPr>
              <w:t>Near baseline — smaller result set or no run</w:t>
            </w:r>
          </w:p>
        </w:tc>
        <w:tc>
          <w:tcPr>
            <w:tcW w:type="dxa" w:w="4032"/>
          </w:tcPr>
          <w:p>
            <w:r>
              <w:rPr>
                <w:sz w:val="18"/>
              </w:rPr>
              <w:t>—</w:t>
            </w:r>
          </w:p>
        </w:tc>
      </w:tr>
      <w:tr>
        <w:tc>
          <w:tcPr>
            <w:tcW w:type="dxa" w:w="1728"/>
            <w:shd w:fill="DEEAF6" w:val="clear"/>
          </w:tcPr>
          <w:p>
            <w:r>
              <w:rPr>
                <w:sz w:val="18"/>
              </w:rPr>
              <w:t>Feb 17</w:t>
            </w:r>
          </w:p>
        </w:tc>
        <w:tc>
          <w:tcPr>
            <w:tcW w:type="dxa" w:w="3600"/>
            <w:shd w:fill="DEEAF6" w:val="clear"/>
          </w:tcPr>
          <w:p>
            <w:r>
              <w:rPr>
                <w:sz w:val="18"/>
              </w:rPr>
              <w:t>Next scheduled run</w:t>
            </w:r>
          </w:p>
        </w:tc>
        <w:tc>
          <w:tcPr>
            <w:tcW w:type="dxa" w:w="4032"/>
            <w:shd w:fill="DEEAF6" w:val="clear"/>
          </w:tcPr>
          <w:p>
            <w:r>
              <w:rPr>
                <w:sz w:val="18"/>
              </w:rPr>
              <w:t>Smaller but still above pre-Feb-5 baseline</w:t>
            </w:r>
          </w:p>
        </w:tc>
      </w:tr>
    </w:tbl>
    <w:p/>
    <w:p>
      <w:r>
        <w:t>Key conclusion: The 12-hour run was the worst case, but recurring spikes on Feb 7-9 and Feb 11-13 confirm the code-level issues generate excess paid events on every run. Fixing only the ECS timeout without fixing the caching will reduce severity but not eliminate the elevated cost.</w:t>
      </w:r>
    </w:p>
    <w:p>
      <w:pPr>
        <w:pStyle w:val="Heading1"/>
      </w:pPr>
      <w:r>
        <w:t>4. Remediation</w:t>
      </w:r>
    </w:p>
    <w:p>
      <w:pPr>
        <w:pStyle w:val="Heading2"/>
      </w:pPr>
      <w:r>
        <w:t>Fix 1 — Add ECS Task-Level Timeout and Alerting (Immediate)</w:t>
      </w:r>
    </w:p>
    <w:p>
      <w:r>
        <w:t>The 12-hour runtime was the core multiplier. Without a task timeout, the container ran indefinitely. Two controls prevent recurrence:</w:t>
      </w:r>
    </w:p>
    <w:p>
      <w:r>
        <w:rPr>
          <w:b/>
        </w:rPr>
        <w:t>A. Set an ECS stopTimeout and CloudWatch alarm on task duration:</w:t>
      </w:r>
    </w:p>
    <w:p>
      <w:r>
        <w:rPr>
          <w:rFonts w:ascii="Courier New" w:hAnsi="Courier New"/>
          <w:sz w:val="16"/>
        </w:rPr>
        <w:t># ECS task definition — container stop timeout</w:t>
        <w:br/>
        <w:t>{</w:t>
        <w:br/>
        <w:t xml:space="preserve">  "containerDefinitions": [{</w:t>
        <w:br/>
        <w:t xml:space="preserve">    "stopTimeout": 120</w:t>
        <w:br/>
        <w:t xml:space="preserve">  }]</w:t>
        <w:br/>
        <w:t>}</w:t>
      </w:r>
    </w:p>
    <w:p>
      <w:r>
        <w:t>Add a CloudWatch alarm on ECS task RunningTaskCount duration to alert if a task is still running past its expected completion window.</w:t>
      </w:r>
    </w:p>
    <w:p>
      <w:r>
        <w:rPr>
          <w:b/>
        </w:rPr>
        <w:t>B. Add a script-level watchdog timeout inside config_aggregator.py:</w:t>
      </w:r>
    </w:p>
    <w:p>
      <w:r>
        <w:rPr>
          <w:rFonts w:ascii="Courier New" w:hAnsi="Courier New"/>
          <w:sz w:val="16"/>
        </w:rPr>
        <w:t>import signal</w:t>
        <w:br/>
        <w:br/>
        <w:t>def _timeout_handler(signum, frame):</w:t>
        <w:br/>
        <w:t xml:space="preserve">    logger.error("Task exceeded maximum allowed runtime. Exiting.")</w:t>
        <w:br/>
        <w:t xml:space="preserve">    raise SystemExit(1)</w:t>
        <w:br/>
        <w:br/>
        <w:t># Allow max 2 hours before hard exit</w:t>
        <w:br/>
        <w:t>signal.signal(signal.SIGALRM, _timeout_handler)</w:t>
        <w:br/>
        <w:t>signal.alarm(7200)</w:t>
      </w:r>
    </w:p>
    <w:p>
      <w:pPr>
        <w:pStyle w:val="Heading2"/>
      </w:pPr>
      <w:r>
        <w:t>Fix 2 — Add Cache to check_account() [IMPLEMENTED Feb 17, 2026]</w:t>
      </w:r>
    </w:p>
    <w:p>
      <w:r>
        <w:t>STATUS: Applied to config_aggregator.py on Feb 17, 2026. version_cache dict and check_account_cached() wrapper added at lines 252-260, following the same pattern as account_cache / get_account_name_cached(). The call site at line 428 was updated. The original check_account() is unchanged.</w:t>
      </w:r>
    </w:p>
    <w:p>
      <w:r>
        <w:rPr>
          <w:rFonts w:ascii="Courier New" w:hAnsi="Courier New"/>
          <w:sz w:val="16"/>
        </w:rPr>
        <w:t># Add near the other caches (around line 241 in config_aggregator.py)</w:t>
        <w:br/>
        <w:t>version_cache = {}</w:t>
        <w:br/>
        <w:br/>
        <w:t>def check_account_cached(account_name):</w:t>
        <w:br/>
        <w:t xml:space="preserve">    if account_name not in version_cache:</w:t>
        <w:br/>
        <w:t xml:space="preserve">        version_cache[account_name] = check_account(account_name)</w:t>
        <w:br/>
        <w:t xml:space="preserve">    return version_cache[account_name]</w:t>
      </w:r>
    </w:p>
    <w:p>
      <w:r>
        <w:t>Replace the call at line 428:</w:t>
      </w:r>
    </w:p>
    <w:p>
      <w:r>
        <w:rPr>
          <w:rFonts w:ascii="Courier New" w:hAnsi="Courier New"/>
          <w:sz w:val="16"/>
        </w:rPr>
        <w:t># Before</w:t>
        <w:br/>
        <w:t>is_one_dot_zero = check_account(account_name)</w:t>
        <w:br/>
        <w:br/>
        <w:t># After</w:t>
        <w:br/>
        <w:t>is_one_dot_zero = check_account_cached(account_name)</w:t>
      </w:r>
    </w:p>
    <w:p>
      <w:r>
        <w:t>Expected reduction: DynamoDB Query calls drop from N-resources to N-unique-accounts per run. Typically a 50–200x reduction.</w:t>
      </w:r>
    </w:p>
    <w:p>
      <w:pPr>
        <w:pStyle w:val="Heading2"/>
      </w:pPr>
      <w:r>
        <w:t>Fix 3 — Move boto3 Clients Outside Loops</w:t>
      </w:r>
    </w:p>
    <w:p>
      <w:r>
        <w:t>Create clients once before the loop begins rather than per-iteration:</w:t>
      </w:r>
    </w:p>
    <w:p>
      <w:r>
        <w:rPr>
          <w:rFonts w:ascii="Courier New" w:hAnsi="Courier New"/>
          <w:sz w:val="16"/>
        </w:rPr>
        <w:t># Move to module-level or before the for-loop</w:t>
        <w:br/>
        <w:t>config_client = boto3.client('config', region_name=REGION, config=Config(retries={'max_attempts': 10}))</w:t>
        <w:br/>
        <w:t>s3_client = boto3.client('s3', region_name=REGION)</w:t>
      </w:r>
    </w:p>
    <w:p>
      <w:pPr>
        <w:pStyle w:val="Heading2"/>
      </w:pPr>
      <w:r>
        <w:t>Fix 4 — Validate Trail Overlap Configuration</w:t>
      </w:r>
    </w:p>
    <w:p>
      <w:r>
        <w:t>Verify both active trails are not double-recording the same management events. The first copy per trail is free; any additional copy is fully paid.</w:t>
      </w:r>
    </w:p>
    <w:p>
      <w:r>
        <w:rPr>
          <w:rFonts w:ascii="Courier New" w:hAnsi="Courier New"/>
          <w:sz w:val="16"/>
        </w:rPr>
        <w:t>aws cloudtrail get-trail --name aws-controltower-BaselineCloudTrail</w:t>
        <w:br/>
        <w:t>aws cloudtrail get-trail --name aws-aft-CustomizationsCloudTrail</w:t>
      </w:r>
    </w:p>
    <w:p>
      <w:pPr>
        <w:pStyle w:val="ListBullet"/>
      </w:pPr>
      <w:r>
        <w:t>Are both trails set to Read + Write management events?</w:t>
      </w:r>
    </w:p>
    <w:p>
      <w:pPr>
        <w:pStyle w:val="ListBullet"/>
      </w:pPr>
      <w:r>
        <w:t>Are both Multi-Region?</w:t>
      </w:r>
    </w:p>
    <w:p>
      <w:pPr>
        <w:pStyle w:val="ListBullet"/>
      </w:pPr>
      <w:r>
        <w:t>Do both have Organization trail scope?</w:t>
      </w:r>
    </w:p>
    <w:p>
      <w:pPr>
        <w:pStyle w:val="Heading2"/>
      </w:pPr>
      <w:r>
        <w:t>Fix 6 — Review CloudTrail Insights Configuration</w:t>
      </w:r>
    </w:p>
    <w:p>
      <w:r>
        <w:t>USE2-InsightsEvents appeared prominently on Feb 5 and Feb 11-13, meaning Insights is enabled on at least one trail and triggering on the elevated API call volumes. Insights charges $0.35 per 100,000 events analyzed.</w:t>
      </w:r>
    </w:p>
    <w:p>
      <w:r>
        <w:rPr>
          <w:rFonts w:ascii="Courier New" w:hAnsi="Courier New"/>
          <w:sz w:val="16"/>
        </w:rPr>
        <w:t># Check which trails have Insights enabled</w:t>
        <w:br/>
        <w:t>aws cloudtrail get-insight-selectors --trail-name aws-controltower-BaselineCloudTrail</w:t>
        <w:br/>
        <w:t>aws cloudtrail get-insight-selectors --trail-name aws-aft-CustomizationsCloudTrail</w:t>
      </w:r>
    </w:p>
    <w:p>
      <w:r>
        <w:t>If Insights is enabled for ApiCallRateInsight and there is no compliance requirement for it, disabling it will immediately eliminate the InsightsEvents cost component. If Insights must remain enabled, fix the underlying API call volume first (Fix 2). Once call volume normalizes, the Insights threshold will no longer be crossed.</w:t>
      </w:r>
    </w:p>
    <w:p>
      <w:pPr>
        <w:pStyle w:val="Heading2"/>
      </w:pPr>
      <w:r>
        <w:t>Fix 7 — Investigate Root Cause of 12-Hour Runtime</w:t>
      </w:r>
    </w:p>
    <w:p>
      <w:r>
        <w:t>Query CloudTrail and ECS logs for the Feb 5–6 window to identify where the task was spending its time:</w:t>
      </w:r>
    </w:p>
    <w:p>
      <w:r>
        <w:rPr>
          <w:rFonts w:ascii="Courier New" w:hAnsi="Courier New"/>
          <w:sz w:val="16"/>
        </w:rPr>
        <w:t>-- Athena: top API callers Feb 5–6</w:t>
        <w:br/>
        <w:t>SELECT useridentity.arn, eventsource, eventname, COUNT(*) AS event_count</w:t>
        <w:br/>
        <w:t>FROM cloudtrail_logs</w:t>
        <w:br/>
        <w:t>WHERE eventtime &gt;= '2026-02-05T00:00:00Z'</w:t>
        <w:br/>
        <w:t xml:space="preserve">  AND eventtime &lt;= '2026-02-06T23:59:59Z'</w:t>
        <w:br/>
        <w:t>GROUP BY useridentity.arn, eventsource, eventname</w:t>
        <w:br/>
        <w:t>ORDER BY event_count DESC</w:t>
        <w:br/>
        <w:t>LIMIT 50;</w:t>
      </w:r>
    </w:p>
    <w:p>
      <w:r>
        <w:t>Cross-reference with ECS/CloudWatch task logs to confirm whether the delay was in the Config query pagination loop, get_rule_description() stalling, or ThrottlingException retry backoff.</w:t>
      </w:r>
    </w:p>
    <w:p>
      <w:pPr>
        <w:pStyle w:val="Heading1"/>
      </w:pPr>
      <w:r>
        <w:t>5. Future View — Deploying New Config Rules Safely</w:t>
      </w:r>
    </w:p>
    <w:p>
      <w:r>
        <w:t>Even without an extended ECS run, deploying Config rules into a large organization aggregator requires a controlled approach to avoid cost spikes and compliance noise. The following practices should be applied to all future rule deployments.</w:t>
      </w:r>
    </w:p>
    <w:p>
      <w:pPr>
        <w:pStyle w:val="Heading2"/>
      </w:pPr>
      <w:r>
        <w:t>5.1 Stage Deployments by OU or Account Tier</w:t>
      </w:r>
    </w:p>
    <w:p>
      <w:r>
        <w:t>Never deploy a new Config rule org-wide simultaneously. Use a phased rollout:</w:t>
      </w:r>
    </w:p>
    <w:tbl>
      <w:tblPr>
        <w:tblStyle w:val="TableGrid"/>
        <w:tblW w:type="auto" w:w="0"/>
        <w:jc w:val="center"/>
        <w:tblLook w:firstColumn="1" w:firstRow="1" w:lastColumn="0" w:lastRow="0" w:noHBand="0" w:noVBand="1" w:val="04A0"/>
      </w:tblPr>
      <w:tblGrid>
        <w:gridCol w:w="2880"/>
        <w:gridCol w:w="2880"/>
        <w:gridCol w:w="2880"/>
      </w:tblGrid>
      <w:tr>
        <w:tc>
          <w:tcPr>
            <w:tcW w:type="dxa" w:w="1440"/>
            <w:shd w:fill="2E74B5" w:val="clear"/>
          </w:tcPr>
          <w:p>
            <w:r>
              <w:rPr>
                <w:b/>
                <w:color w:val="FFFFFF"/>
                <w:sz w:val="18"/>
              </w:rPr>
              <w:t>Phase</w:t>
            </w:r>
          </w:p>
        </w:tc>
        <w:tc>
          <w:tcPr>
            <w:tcW w:type="dxa" w:w="3600"/>
            <w:shd w:fill="2E74B5" w:val="clear"/>
          </w:tcPr>
          <w:p>
            <w:r>
              <w:rPr>
                <w:b/>
                <w:color w:val="FFFFFF"/>
                <w:sz w:val="18"/>
              </w:rPr>
              <w:t>Scope</w:t>
            </w:r>
          </w:p>
        </w:tc>
        <w:tc>
          <w:tcPr>
            <w:tcW w:type="dxa" w:w="4320"/>
            <w:shd w:fill="2E74B5" w:val="clear"/>
          </w:tcPr>
          <w:p>
            <w:r>
              <w:rPr>
                <w:b/>
                <w:color w:val="FFFFFF"/>
                <w:sz w:val="18"/>
              </w:rPr>
              <w:t>Purpose</w:t>
            </w:r>
          </w:p>
        </w:tc>
      </w:tr>
      <w:tr>
        <w:tc>
          <w:tcPr>
            <w:tcW w:type="dxa" w:w="1440"/>
          </w:tcPr>
          <w:p>
            <w:r>
              <w:rPr>
                <w:sz w:val="18"/>
              </w:rPr>
              <w:t>Phase 1</w:t>
            </w:r>
          </w:p>
        </w:tc>
        <w:tc>
          <w:tcPr>
            <w:tcW w:type="dxa" w:w="3600"/>
          </w:tcPr>
          <w:p>
            <w:r>
              <w:rPr>
                <w:sz w:val="18"/>
              </w:rPr>
              <w:t>Sandbox / Dev OU (1–5 accounts)</w:t>
            </w:r>
          </w:p>
        </w:tc>
        <w:tc>
          <w:tcPr>
            <w:tcW w:type="dxa" w:w="4320"/>
          </w:tcPr>
          <w:p>
            <w:r>
              <w:rPr>
                <w:sz w:val="18"/>
              </w:rPr>
              <w:t>Validate rule logic and evaluation behavior</w:t>
            </w:r>
          </w:p>
        </w:tc>
      </w:tr>
      <w:tr>
        <w:tc>
          <w:tcPr>
            <w:tcW w:type="dxa" w:w="1440"/>
            <w:shd w:fill="DEEAF6" w:val="clear"/>
          </w:tcPr>
          <w:p>
            <w:r>
              <w:rPr>
                <w:sz w:val="18"/>
              </w:rPr>
              <w:t>Phase 2</w:t>
            </w:r>
          </w:p>
        </w:tc>
        <w:tc>
          <w:tcPr>
            <w:tcW w:type="dxa" w:w="3600"/>
            <w:shd w:fill="DEEAF6" w:val="clear"/>
          </w:tcPr>
          <w:p>
            <w:r>
              <w:rPr>
                <w:sz w:val="18"/>
              </w:rPr>
              <w:t>Non-production OUs (10–20 accounts)</w:t>
            </w:r>
          </w:p>
        </w:tc>
        <w:tc>
          <w:tcPr>
            <w:tcW w:type="dxa" w:w="4320"/>
            <w:shd w:fill="DEEAF6" w:val="clear"/>
          </w:tcPr>
          <w:p>
            <w:r>
              <w:rPr>
                <w:sz w:val="18"/>
              </w:rPr>
              <w:t>Validate at scale, observe event volume</w:t>
            </w:r>
          </w:p>
        </w:tc>
      </w:tr>
      <w:tr>
        <w:tc>
          <w:tcPr>
            <w:tcW w:type="dxa" w:w="1440"/>
          </w:tcPr>
          <w:p>
            <w:r>
              <w:rPr>
                <w:sz w:val="18"/>
              </w:rPr>
              <w:t>Phase 3</w:t>
            </w:r>
          </w:p>
        </w:tc>
        <w:tc>
          <w:tcPr>
            <w:tcW w:type="dxa" w:w="3600"/>
          </w:tcPr>
          <w:p>
            <w:r>
              <w:rPr>
                <w:sz w:val="18"/>
              </w:rPr>
              <w:t>Production OUs</w:t>
            </w:r>
          </w:p>
        </w:tc>
        <w:tc>
          <w:tcPr>
            <w:tcW w:type="dxa" w:w="4320"/>
          </w:tcPr>
          <w:p>
            <w:r>
              <w:rPr>
                <w:sz w:val="18"/>
              </w:rPr>
              <w:t>Full deployment with known event baseline</w:t>
            </w:r>
          </w:p>
        </w:tc>
      </w:tr>
    </w:tbl>
    <w:p>
      <w:r>
        <w:t>Each phase should run for at least one full aggregator evaluation cycle before expanding. Monitor ECS task duration at each phase — a longer-than-normal run after adding a new rule is an early warning sign of increased result set volume.</w:t>
      </w:r>
    </w:p>
    <w:p>
      <w:pPr>
        <w:pStyle w:val="Heading2"/>
      </w:pPr>
      <w:r>
        <w:t>5.2 Pre-Deployment: Estimate Resource Scope</w:t>
      </w:r>
    </w:p>
    <w:p>
      <w:r>
        <w:t>Before deploying, estimate the number of in-scope resources to anticipate evaluation volume and expected config_aggregator.py result set growth.</w:t>
      </w:r>
    </w:p>
    <w:p>
      <w:r>
        <w:rPr>
          <w:rFonts w:ascii="Courier New" w:hAnsi="Courier New"/>
          <w:sz w:val="16"/>
        </w:rPr>
        <w:t>-- AWS Config Advanced Query: count resources in scope</w:t>
        <w:br/>
        <w:t>SELECT resourceType, COUNT(*) AS resource_count</w:t>
        <w:br/>
        <w:t>FROM aws_config_configuration_snapshot</w:t>
        <w:br/>
        <w:t>WHERE resourceType = 'AWS::EC2::Volume'</w:t>
        <w:br/>
        <w:t>GROUP BY resourceType;</w:t>
      </w:r>
    </w:p>
    <w:p>
      <w:r>
        <w:t>Use this count to estimate the additional rows config_aggregator.py will need to process per run, and validate the expected ECS task duration before deploying org-wide.</w:t>
      </w:r>
    </w:p>
    <w:p>
      <w:pPr>
        <w:pStyle w:val="Heading2"/>
      </w:pPr>
      <w:r>
        <w:t>5.3 Use MaximumExecutionFrequency to Control Evaluation Rate</w:t>
      </w:r>
    </w:p>
    <w:p>
      <w:r>
        <w:t>For periodic rules (not change-triggered), set the maximum execution frequency to reduce ongoing event volume and aggregator result set size:</w:t>
      </w:r>
    </w:p>
    <w:tbl>
      <w:tblPr>
        <w:tblStyle w:val="TableGrid"/>
        <w:tblW w:type="auto" w:w="0"/>
        <w:jc w:val="center"/>
        <w:tblLook w:firstColumn="1" w:firstRow="1" w:lastColumn="0" w:lastRow="0" w:noHBand="0" w:noVBand="1" w:val="04A0"/>
      </w:tblPr>
      <w:tblGrid>
        <w:gridCol w:w="4320"/>
        <w:gridCol w:w="4320"/>
      </w:tblGrid>
      <w:tr>
        <w:tc>
          <w:tcPr>
            <w:tcW w:type="dxa" w:w="2880"/>
            <w:shd w:fill="2E74B5" w:val="clear"/>
          </w:tcPr>
          <w:p>
            <w:r>
              <w:rPr>
                <w:b/>
                <w:color w:val="FFFFFF"/>
                <w:sz w:val="18"/>
              </w:rPr>
              <w:t>Frequency</w:t>
            </w:r>
          </w:p>
        </w:tc>
        <w:tc>
          <w:tcPr>
            <w:tcW w:type="dxa" w:w="6480"/>
            <w:shd w:fill="2E74B5" w:val="clear"/>
          </w:tcPr>
          <w:p>
            <w:r>
              <w:rPr>
                <w:b/>
                <w:color w:val="FFFFFF"/>
                <w:sz w:val="18"/>
              </w:rPr>
              <w:t>Use Case</w:t>
            </w:r>
          </w:p>
        </w:tc>
      </w:tr>
      <w:tr>
        <w:tc>
          <w:tcPr>
            <w:tcW w:type="dxa" w:w="2880"/>
          </w:tcPr>
          <w:p>
            <w:r>
              <w:rPr>
                <w:sz w:val="18"/>
              </w:rPr>
              <w:t>One_Hour</w:t>
            </w:r>
          </w:p>
        </w:tc>
        <w:tc>
          <w:tcPr>
            <w:tcW w:type="dxa" w:w="6480"/>
          </w:tcPr>
          <w:p>
            <w:r>
              <w:rPr>
                <w:sz w:val="18"/>
              </w:rPr>
              <w:t>High-sensitivity security rules</w:t>
            </w:r>
          </w:p>
        </w:tc>
      </w:tr>
      <w:tr>
        <w:tc>
          <w:tcPr>
            <w:tcW w:type="dxa" w:w="2880"/>
            <w:shd w:fill="DEEAF6" w:val="clear"/>
          </w:tcPr>
          <w:p>
            <w:r>
              <w:rPr>
                <w:sz w:val="18"/>
              </w:rPr>
              <w:t>Three_Hours</w:t>
            </w:r>
          </w:p>
        </w:tc>
        <w:tc>
          <w:tcPr>
            <w:tcW w:type="dxa" w:w="6480"/>
            <w:shd w:fill="DEEAF6" w:val="clear"/>
          </w:tcPr>
          <w:p>
            <w:r>
              <w:rPr>
                <w:sz w:val="18"/>
              </w:rPr>
              <w:t>Standard compliance rules</w:t>
            </w:r>
          </w:p>
        </w:tc>
      </w:tr>
      <w:tr>
        <w:tc>
          <w:tcPr>
            <w:tcW w:type="dxa" w:w="2880"/>
          </w:tcPr>
          <w:p>
            <w:r>
              <w:rPr>
                <w:sz w:val="18"/>
              </w:rPr>
              <w:t>Six_Hours</w:t>
            </w:r>
          </w:p>
        </w:tc>
        <w:tc>
          <w:tcPr>
            <w:tcW w:type="dxa" w:w="6480"/>
          </w:tcPr>
          <w:p>
            <w:r>
              <w:rPr>
                <w:sz w:val="18"/>
              </w:rPr>
              <w:t>Low-urgency inventory rules</w:t>
            </w:r>
          </w:p>
        </w:tc>
      </w:tr>
      <w:tr>
        <w:tc>
          <w:tcPr>
            <w:tcW w:type="dxa" w:w="2880"/>
            <w:shd w:fill="DEEAF6" w:val="clear"/>
          </w:tcPr>
          <w:p>
            <w:r>
              <w:rPr>
                <w:sz w:val="18"/>
              </w:rPr>
              <w:t>TwentyFour_Hours</w:t>
            </w:r>
          </w:p>
        </w:tc>
        <w:tc>
          <w:tcPr>
            <w:tcW w:type="dxa" w:w="6480"/>
            <w:shd w:fill="DEEAF6" w:val="clear"/>
          </w:tcPr>
          <w:p>
            <w:r>
              <w:rPr>
                <w:sz w:val="18"/>
              </w:rPr>
              <w:t>Cost-optimization or tagging rules</w:t>
            </w:r>
          </w:p>
        </w:tc>
      </w:tr>
    </w:tbl>
    <w:p>
      <w:pPr>
        <w:pStyle w:val="Heading2"/>
      </w:pPr>
      <w:r>
        <w:t>5.4 Set Change-Triggered Scope Narrowly</w:t>
      </w:r>
    </w:p>
    <w:p>
      <w:r>
        <w:t>For change-triggered rules, explicitly define the Scope to the minimum required resource types. Broad or undefined scope means any resource change triggers evaluation, increasing both Config API volume and aggregator result set size.</w:t>
      </w:r>
    </w:p>
    <w:p>
      <w:r>
        <w:rPr>
          <w:rFonts w:ascii="Courier New" w:hAnsi="Courier New"/>
          <w:sz w:val="16"/>
        </w:rPr>
        <w:t># Terraform — narrow scope to only EBS volumes</w:t>
        <w:br/>
        <w:t>resource "aws_config_config_rule" "ebs_encryption" {</w:t>
        <w:br/>
        <w:t xml:space="preserve">  name = "ebs-volume-encryption"</w:t>
        <w:br/>
        <w:br/>
        <w:t xml:space="preserve">  scope {</w:t>
        <w:br/>
        <w:t xml:space="preserve">    compliance_resource_types = ["AWS::EC2::Volume"]</w:t>
        <w:br/>
        <w:t xml:space="preserve">  }</w:t>
        <w:br/>
        <w:br/>
        <w:t xml:space="preserve">  source {</w:t>
        <w:br/>
        <w:t xml:space="preserve">    owner             = "AWS"</w:t>
        <w:br/>
        <w:t xml:space="preserve">    source_identifier = "ENCRYPTED_VOLUMES"</w:t>
        <w:br/>
        <w:t xml:space="preserve">  }</w:t>
        <w:br/>
        <w:t>}</w:t>
      </w:r>
    </w:p>
    <w:p>
      <w:pPr>
        <w:pStyle w:val="Heading2"/>
      </w:pPr>
      <w:r>
        <w:t>5.5 Monitor ECS Task Duration After Each Rule Deployment</w:t>
      </w:r>
    </w:p>
    <w:p>
      <w:r>
        <w:t>ECS task runtime is the direct cost multiplier identified in this incident. Establish a duration check as part of every Config rule deployment runbook:</w:t>
      </w:r>
    </w:p>
    <w:p>
      <w:r>
        <w:t>1. Record typical ECS task duration (baseline) before rule deployment.</w:t>
      </w:r>
    </w:p>
    <w:p>
      <w:r>
        <w:t>2. Deploy rule to Phase 1 scope.</w:t>
      </w:r>
    </w:p>
    <w:p>
      <w:r>
        <w:t>3. Monitor ECS task duration for the next 2–3 runs.</w:t>
      </w:r>
    </w:p>
    <w:p>
      <w:r>
        <w:t>4. If duration increases by more than 30%, investigate result set growth before Phase 2.</w:t>
      </w:r>
    </w:p>
    <w:p>
      <w:r>
        <w:t>5. Set a CloudWatch alarm on ECS task duration that pages on-call if exceeded.</w:t>
      </w:r>
    </w:p>
    <w:p>
      <w:pPr>
        <w:pStyle w:val="Heading2"/>
      </w:pPr>
      <w:r>
        <w:t>5.6 Separate Remediation Automation from Config Evaluation</w:t>
      </w:r>
    </w:p>
    <w:p>
      <w:r>
        <w:t>If a Config rule triggers automated remediation (SSM Automation, Lambda), each remediation action generates its own management events and may add to the non-compliant resource count that config_aggregator.py needs to process.</w:t>
      </w:r>
    </w:p>
    <w:p>
      <w:pPr>
        <w:pStyle w:val="ListBullet"/>
      </w:pPr>
      <w:r>
        <w:t>Deploy rule in Audit mode (report-only) first.</w:t>
      </w:r>
    </w:p>
    <w:p>
      <w:pPr>
        <w:pStyle w:val="ListBullet"/>
      </w:pPr>
      <w:r>
        <w:t>Review non-compliant resource count and confirm expected aggregator result set size.</w:t>
      </w:r>
    </w:p>
    <w:p>
      <w:pPr>
        <w:pStyle w:val="ListBullet"/>
      </w:pPr>
      <w:r>
        <w:t>Enable remediation as a separate, controlled step with rate limiting applied.</w:t>
      </w:r>
    </w:p>
    <w:p>
      <w:pPr>
        <w:pStyle w:val="Heading1"/>
      </w:pPr>
      <w:r>
        <w:t>6. Summary</w:t>
      </w:r>
    </w:p>
    <w:tbl>
      <w:tblPr>
        <w:tblStyle w:val="TableGrid"/>
        <w:tblW w:type="auto" w:w="0"/>
        <w:jc w:val="center"/>
        <w:tblLook w:firstColumn="1" w:firstRow="1" w:lastColumn="0" w:lastRow="0" w:noHBand="0" w:noVBand="1" w:val="04A0"/>
      </w:tblPr>
      <w:tblGrid>
        <w:gridCol w:w="2880"/>
        <w:gridCol w:w="2880"/>
        <w:gridCol w:w="2880"/>
      </w:tblGrid>
      <w:tr>
        <w:tc>
          <w:tcPr>
            <w:tcW w:type="dxa" w:w="3600"/>
            <w:shd w:fill="2E74B5" w:val="clear"/>
          </w:tcPr>
          <w:p>
            <w:r>
              <w:rPr>
                <w:b/>
                <w:color w:val="FFFFFF"/>
                <w:sz w:val="18"/>
              </w:rPr>
              <w:t>Finding</w:t>
            </w:r>
          </w:p>
        </w:tc>
        <w:tc>
          <w:tcPr>
            <w:tcW w:type="dxa" w:w="1440"/>
            <w:shd w:fill="2E74B5" w:val="clear"/>
          </w:tcPr>
          <w:p>
            <w:r>
              <w:rPr>
                <w:b/>
                <w:color w:val="FFFFFF"/>
                <w:sz w:val="18"/>
              </w:rPr>
              <w:t>Severity</w:t>
            </w:r>
          </w:p>
        </w:tc>
        <w:tc>
          <w:tcPr>
            <w:tcW w:type="dxa" w:w="4320"/>
            <w:shd w:fill="2E74B5" w:val="clear"/>
          </w:tcPr>
          <w:p>
            <w:r>
              <w:rPr>
                <w:b/>
                <w:color w:val="FFFFFF"/>
                <w:sz w:val="18"/>
              </w:rPr>
              <w:t>Remediation</w:t>
            </w:r>
          </w:p>
        </w:tc>
      </w:tr>
      <w:tr>
        <w:tc>
          <w:tcPr>
            <w:tcW w:type="dxa" w:w="3600"/>
          </w:tcPr>
          <w:p>
            <w:r>
              <w:rPr>
                <w:sz w:val="18"/>
              </w:rPr>
              <w:t>check_account() uncached -- recurred on every scheduled ECS run</w:t>
            </w:r>
          </w:p>
        </w:tc>
        <w:tc>
          <w:tcPr>
            <w:tcW w:type="dxa" w:w="1440"/>
          </w:tcPr>
          <w:p>
            <w:r>
              <w:rPr>
                <w:sz w:val="18"/>
              </w:rPr>
              <w:t>Critical</w:t>
            </w:r>
          </w:p>
        </w:tc>
        <w:tc>
          <w:tcPr>
            <w:tcW w:type="dxa" w:w="4320"/>
          </w:tcPr>
          <w:p>
            <w:r>
              <w:rPr>
                <w:sz w:val="18"/>
              </w:rPr>
              <w:t>FIXED -- version_cache + check_account_cached() applied Feb 17, 2026</w:t>
            </w:r>
          </w:p>
        </w:tc>
      </w:tr>
      <w:tr>
        <w:tc>
          <w:tcPr>
            <w:tcW w:type="dxa" w:w="3600"/>
            <w:shd w:fill="DEEAF6" w:val="clear"/>
          </w:tcPr>
          <w:p>
            <w:r>
              <w:rPr>
                <w:sz w:val="18"/>
              </w:rPr>
              <w:t>ECS task ran ~12 hours on Feb 5-6 -- worst-case runtime multiplier</w:t>
            </w:r>
          </w:p>
        </w:tc>
        <w:tc>
          <w:tcPr>
            <w:tcW w:type="dxa" w:w="1440"/>
            <w:shd w:fill="DEEAF6" w:val="clear"/>
          </w:tcPr>
          <w:p>
            <w:r>
              <w:rPr>
                <w:sz w:val="18"/>
              </w:rPr>
              <w:t>High</w:t>
            </w:r>
          </w:p>
        </w:tc>
        <w:tc>
          <w:tcPr>
            <w:tcW w:type="dxa" w:w="4320"/>
            <w:shd w:fill="DEEAF6" w:val="clear"/>
          </w:tcPr>
          <w:p>
            <w:r>
              <w:rPr>
                <w:sz w:val="18"/>
              </w:rPr>
              <w:t>Add ECS stopTimeout + CloudWatch duration alarm</w:t>
            </w:r>
          </w:p>
        </w:tc>
      </w:tr>
      <w:tr>
        <w:tc>
          <w:tcPr>
            <w:tcW w:type="dxa" w:w="3600"/>
          </w:tcPr>
          <w:p>
            <w:r>
              <w:rPr>
                <w:sz w:val="18"/>
              </w:rPr>
              <w:t>USE2-InsightsEvents compounding on high-volume runs</w:t>
            </w:r>
          </w:p>
        </w:tc>
        <w:tc>
          <w:tcPr>
            <w:tcW w:type="dxa" w:w="1440"/>
          </w:tcPr>
          <w:p>
            <w:r>
              <w:rPr>
                <w:sz w:val="18"/>
              </w:rPr>
              <w:t>High</w:t>
            </w:r>
          </w:p>
        </w:tc>
        <w:tc>
          <w:tcPr>
            <w:tcW w:type="dxa" w:w="4320"/>
          </w:tcPr>
          <w:p>
            <w:r>
              <w:rPr>
                <w:sz w:val="18"/>
              </w:rPr>
              <w:t>Audit Insights config; disable ApiCallRateInsight if not required</w:t>
            </w:r>
          </w:p>
        </w:tc>
      </w:tr>
      <w:tr>
        <w:tc>
          <w:tcPr>
            <w:tcW w:type="dxa" w:w="3600"/>
            <w:shd w:fill="DEEAF6" w:val="clear"/>
          </w:tcPr>
          <w:p>
            <w:r>
              <w:rPr>
                <w:sz w:val="18"/>
              </w:rPr>
              <w:t>get_rule_description() -- Config API calls at scale</w:t>
            </w:r>
          </w:p>
        </w:tc>
        <w:tc>
          <w:tcPr>
            <w:tcW w:type="dxa" w:w="1440"/>
            <w:shd w:fill="DEEAF6" w:val="clear"/>
          </w:tcPr>
          <w:p>
            <w:r>
              <w:rPr>
                <w:sz w:val="18"/>
              </w:rPr>
              <w:t>Medium</w:t>
            </w:r>
          </w:p>
        </w:tc>
        <w:tc>
          <w:tcPr>
            <w:tcW w:type="dxa" w:w="4320"/>
            <w:shd w:fill="DEEAF6" w:val="clear"/>
          </w:tcPr>
          <w:p>
            <w:r>
              <w:rPr>
                <w:sz w:val="18"/>
              </w:rPr>
              <w:t>Cache in place; verify hit rate and pagination depth</w:t>
            </w:r>
          </w:p>
        </w:tc>
      </w:tr>
      <w:tr>
        <w:tc>
          <w:tcPr>
            <w:tcW w:type="dxa" w:w="3600"/>
          </w:tcPr>
          <w:p>
            <w:r>
              <w:rPr>
                <w:sz w:val="18"/>
              </w:rPr>
              <w:t>boto3 clients created inside loops</w:t>
            </w:r>
          </w:p>
        </w:tc>
        <w:tc>
          <w:tcPr>
            <w:tcW w:type="dxa" w:w="1440"/>
          </w:tcPr>
          <w:p>
            <w:r>
              <w:rPr>
                <w:sz w:val="18"/>
              </w:rPr>
              <w:t>Low</w:t>
            </w:r>
          </w:p>
        </w:tc>
        <w:tc>
          <w:tcPr>
            <w:tcW w:type="dxa" w:w="4320"/>
          </w:tcPr>
          <w:p>
            <w:r>
              <w:rPr>
                <w:sz w:val="18"/>
              </w:rPr>
              <w:t>Move to module-level or before loop start</w:t>
            </w:r>
          </w:p>
        </w:tc>
      </w:tr>
      <w:tr>
        <w:tc>
          <w:tcPr>
            <w:tcW w:type="dxa" w:w="3600"/>
            <w:shd w:fill="DEEAF6" w:val="clear"/>
          </w:tcPr>
          <w:p>
            <w:r>
              <w:rPr>
                <w:sz w:val="18"/>
              </w:rPr>
              <w:t>Possible trail overlap (double-recording events)</w:t>
            </w:r>
          </w:p>
        </w:tc>
        <w:tc>
          <w:tcPr>
            <w:tcW w:type="dxa" w:w="1440"/>
            <w:shd w:fill="DEEAF6" w:val="clear"/>
          </w:tcPr>
          <w:p>
            <w:r>
              <w:rPr>
                <w:sz w:val="18"/>
              </w:rPr>
              <w:t>Medium</w:t>
            </w:r>
          </w:p>
        </w:tc>
        <w:tc>
          <w:tcPr>
            <w:tcW w:type="dxa" w:w="4320"/>
            <w:shd w:fill="DEEAF6" w:val="clear"/>
          </w:tcPr>
          <w:p>
            <w:r>
              <w:rPr>
                <w:sz w:val="18"/>
              </w:rPr>
              <w:t>Audit both trail configurations</w:t>
            </w:r>
          </w:p>
        </w:tc>
      </w:tr>
      <w:tr>
        <w:tc>
          <w:tcPr>
            <w:tcW w:type="dxa" w:w="3600"/>
          </w:tcPr>
          <w:p>
            <w:r>
              <w:rPr>
                <w:sz w:val="18"/>
              </w:rPr>
              <w:t>Root cause of 12-hour runtime not yet confirmed</w:t>
            </w:r>
          </w:p>
        </w:tc>
        <w:tc>
          <w:tcPr>
            <w:tcW w:type="dxa" w:w="1440"/>
          </w:tcPr>
          <w:p>
            <w:r>
              <w:rPr>
                <w:sz w:val="18"/>
              </w:rPr>
              <w:t>Medium</w:t>
            </w:r>
          </w:p>
        </w:tc>
        <w:tc>
          <w:tcPr>
            <w:tcW w:type="dxa" w:w="4320"/>
          </w:tcPr>
          <w:p>
            <w:r>
              <w:rPr>
                <w:sz w:val="18"/>
              </w:rPr>
              <w:t>Investigate ECS + CloudWatch logs for Feb 5-6 run</w:t>
            </w:r>
          </w:p>
        </w:tc>
      </w:tr>
    </w:tbl>
    <w:p/>
    <w:p>
      <w:pPr>
        <w:pStyle w:val="Heading1"/>
      </w:pPr>
      <w:r>
        <w:t>7. Risk Level</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E74B5" w:val="clear"/>
          </w:tcPr>
          <w:p>
            <w:r>
              <w:rPr>
                <w:b/>
                <w:color w:val="FFFFFF"/>
                <w:sz w:val="18"/>
              </w:rPr>
              <w:t>Risk Type</w:t>
            </w:r>
          </w:p>
        </w:tc>
        <w:tc>
          <w:tcPr>
            <w:tcW w:type="dxa" w:w="1440"/>
            <w:shd w:fill="2E74B5" w:val="clear"/>
          </w:tcPr>
          <w:p>
            <w:r>
              <w:rPr>
                <w:b/>
                <w:color w:val="FFFFFF"/>
                <w:sz w:val="18"/>
              </w:rPr>
              <w:t>Level</w:t>
            </w:r>
          </w:p>
        </w:tc>
        <w:tc>
          <w:tcPr>
            <w:tcW w:type="dxa" w:w="5040"/>
            <w:shd w:fill="2E74B5" w:val="clear"/>
          </w:tcPr>
          <w:p>
            <w:r>
              <w:rPr>
                <w:b/>
                <w:color w:val="FFFFFF"/>
                <w:sz w:val="18"/>
              </w:rPr>
              <w:t>Notes</w:t>
            </w:r>
          </w:p>
        </w:tc>
      </w:tr>
      <w:tr>
        <w:tc>
          <w:tcPr>
            <w:tcW w:type="dxa" w:w="2880"/>
          </w:tcPr>
          <w:p>
            <w:r>
              <w:rPr>
                <w:sz w:val="18"/>
              </w:rPr>
              <w:t>Ongoing cost risk</w:t>
            </w:r>
          </w:p>
        </w:tc>
        <w:tc>
          <w:tcPr>
            <w:tcW w:type="dxa" w:w="1440"/>
          </w:tcPr>
          <w:p>
            <w:r>
              <w:rPr>
                <w:sz w:val="18"/>
              </w:rPr>
              <w:t>High</w:t>
            </w:r>
          </w:p>
        </w:tc>
        <w:tc>
          <w:tcPr>
            <w:tcW w:type="dxa" w:w="5040"/>
          </w:tcPr>
          <w:p>
            <w:r>
              <w:rPr>
                <w:sz w:val="18"/>
              </w:rPr>
              <w:t>check_account() fix applied -- remaining risk from ECS timeout gap + Insights events</w:t>
            </w:r>
          </w:p>
        </w:tc>
      </w:tr>
      <w:tr>
        <w:tc>
          <w:tcPr>
            <w:tcW w:type="dxa" w:w="2880"/>
            <w:shd w:fill="DEEAF6" w:val="clear"/>
          </w:tcPr>
          <w:p>
            <w:r>
              <w:rPr>
                <w:sz w:val="18"/>
              </w:rPr>
              <w:t>Security risk</w:t>
            </w:r>
          </w:p>
        </w:tc>
        <w:tc>
          <w:tcPr>
            <w:tcW w:type="dxa" w:w="1440"/>
            <w:shd w:fill="DEEAF6" w:val="clear"/>
          </w:tcPr>
          <w:p>
            <w:r>
              <w:rPr>
                <w:sz w:val="18"/>
              </w:rPr>
              <w:t>Low</w:t>
            </w:r>
          </w:p>
        </w:tc>
        <w:tc>
          <w:tcPr>
            <w:tcW w:type="dxa" w:w="5040"/>
            <w:shd w:fill="DEEAF6" w:val="clear"/>
          </w:tcPr>
          <w:p>
            <w:r>
              <w:rPr>
                <w:sz w:val="18"/>
              </w:rPr>
              <w:t>CloudTrail logging is functioning correctly</w:t>
            </w:r>
          </w:p>
        </w:tc>
      </w:tr>
      <w:tr>
        <w:tc>
          <w:tcPr>
            <w:tcW w:type="dxa" w:w="2880"/>
          </w:tcPr>
          <w:p>
            <w:r>
              <w:rPr>
                <w:sz w:val="18"/>
              </w:rPr>
              <w:t>Compliance risk</w:t>
            </w:r>
          </w:p>
        </w:tc>
        <w:tc>
          <w:tcPr>
            <w:tcW w:type="dxa" w:w="1440"/>
          </w:tcPr>
          <w:p>
            <w:r>
              <w:rPr>
                <w:sz w:val="18"/>
              </w:rPr>
              <w:t>Low</w:t>
            </w:r>
          </w:p>
        </w:tc>
        <w:tc>
          <w:tcPr>
            <w:tcW w:type="dxa" w:w="5040"/>
          </w:tcPr>
          <w:p>
            <w:r>
              <w:rPr>
                <w:sz w:val="18"/>
              </w:rPr>
              <w:t>No data loss or rule misconfiguration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