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563EB"/>
          <w:sz w:val="22"/>
        </w:rPr>
        <w:t>DEPARTMENT OF COMPUTER SCIENCE &amp; DATA SCIENCE</w:t>
        <w:br/>
        <w:t>ADVANCED DATA VISUALIZATION TECHNIQUES (ADVT)</w:t>
        <w:br/>
        <w:t>ACADEMIC PROJECT REPORT</w:t>
      </w:r>
    </w:p>
    <w:p>
      <w:pPr>
        <w:spacing w:after="560"/>
      </w:pPr>
    </w:p>
    <w:p>
      <w:pPr>
        <w:spacing w:line="300" w:lineRule="auto" w:after="280"/>
        <w:jc w:val="center"/>
      </w:pPr>
      <w:r>
        <w:rPr>
          <w:rFonts w:ascii="Times New Roman" w:hAnsi="Times New Roman"/>
          <w:b/>
          <w:color w:val="0F172A"/>
          <w:sz w:val="44"/>
        </w:rPr>
        <w:t>Visualizing Point Reliability in Dimensionality Reduction Scatterplots:</w:t>
        <w:br/>
        <w:t>A Multi-Scale Grammar-of-Graphics Framework for High-Stakes Visual Analytics</w:t>
      </w:r>
    </w:p>
    <w:p>
      <w:pPr>
        <w:spacing w:after="640"/>
        <w:jc w:val="center"/>
      </w:pPr>
      <w:r>
        <w:rPr>
          <w:rFonts w:ascii="Times New Roman" w:hAnsi="Times New Roman"/>
          <w:i/>
          <w:color w:val="475569"/>
          <w:sz w:val="24"/>
        </w:rPr>
        <w:t>The ggtrust Platform: Resolving the Silent Hallucination Crisis in t-SNE, UMAP, and PCA Projections through In-Situ Topological Fidelity Annotations</w:t>
      </w:r>
    </w:p>
    <w:p>
      <w:pPr>
        <w:spacing w:after="120"/>
        <w:jc w:val="center"/>
      </w:pPr>
      <w:r>
        <w:rPr>
          <w:rFonts w:ascii="Times New Roman" w:hAnsi="Times New Roman"/>
          <w:b/>
          <w:color w:val="1E3A8A"/>
          <w:sz w:val="21"/>
        </w:rPr>
        <w:t>PROJECT INVESTIGATORS &amp; CANDIDATES:</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70" w:type="dxa"/>
              <w:bottom w:w="70" w:type="dxa"/>
              <w:left w:w="120" w:type="dxa"/>
              <w:right w:w="120" w:type="dxa"/>
            </w:tcMar>
            <w:shd w:fill="1E3A8A"/>
          </w:tcPr>
          <w:p>
            <w:pPr>
              <w:jc w:val="center"/>
            </w:pPr>
            <w:r>
              <w:rPr>
                <w:rFonts w:ascii="Times New Roman" w:hAnsi="Times New Roman"/>
                <w:b/>
                <w:color w:val="FFFFFF"/>
                <w:sz w:val="19"/>
              </w:rPr>
              <w:t>S. No.</w:t>
            </w:r>
          </w:p>
        </w:tc>
        <w:tc>
          <w:tcPr>
            <w:tcW w:type="dxa" w:w="3120"/>
            <w:vAlign w:val="center"/>
            <w:tcMar>
              <w:top w:w="70" w:type="dxa"/>
              <w:bottom w:w="70" w:type="dxa"/>
              <w:left w:w="120" w:type="dxa"/>
              <w:right w:w="120" w:type="dxa"/>
            </w:tcMar>
            <w:shd w:fill="1E3A8A"/>
          </w:tcPr>
          <w:p>
            <w:pPr>
              <w:jc w:val="left"/>
            </w:pPr>
            <w:r>
              <w:rPr>
                <w:rFonts w:ascii="Times New Roman" w:hAnsi="Times New Roman"/>
                <w:b/>
                <w:color w:val="FFFFFF"/>
                <w:sz w:val="19"/>
              </w:rPr>
              <w:t>Candidate Name</w:t>
            </w:r>
          </w:p>
        </w:tc>
        <w:tc>
          <w:tcPr>
            <w:tcW w:type="dxa" w:w="3120"/>
            <w:vAlign w:val="center"/>
            <w:tcMar>
              <w:top w:w="70" w:type="dxa"/>
              <w:bottom w:w="70" w:type="dxa"/>
              <w:left w:w="120" w:type="dxa"/>
              <w:right w:w="120" w:type="dxa"/>
            </w:tcMar>
            <w:shd w:fill="1E3A8A"/>
          </w:tcPr>
          <w:p>
            <w:pPr>
              <w:jc w:val="center"/>
            </w:pPr>
            <w:r>
              <w:rPr>
                <w:rFonts w:ascii="Times New Roman" w:hAnsi="Times New Roman"/>
                <w:b/>
                <w:color w:val="FFFFFF"/>
                <w:sz w:val="19"/>
              </w:rPr>
              <w:t>Register Number</w:t>
            </w:r>
          </w:p>
        </w:tc>
      </w:tr>
      <w:tr>
        <w:tc>
          <w:tcPr>
            <w:tcW w:type="dxa" w:w="3120"/>
            <w:vAlign w:val="center"/>
            <w:tcMar>
              <w:top w:w="70" w:type="dxa"/>
              <w:bottom w:w="70" w:type="dxa"/>
              <w:left w:w="120" w:type="dxa"/>
              <w:right w:w="120" w:type="dxa"/>
            </w:tcMar>
            <w:shd w:fill="F8FAFC"/>
          </w:tcPr>
          <w:p>
            <w:pPr>
              <w:jc w:val="center"/>
            </w:pPr>
            <w:r>
              <w:rPr>
                <w:rFonts w:ascii="Times New Roman" w:hAnsi="Times New Roman"/>
                <w:color w:val="1E293B"/>
                <w:sz w:val="19"/>
              </w:rPr>
              <w:t>1</w:t>
            </w:r>
          </w:p>
        </w:tc>
        <w:tc>
          <w:tcPr>
            <w:tcW w:type="dxa" w:w="3120"/>
            <w:vAlign w:val="center"/>
            <w:tcMar>
              <w:top w:w="70" w:type="dxa"/>
              <w:bottom w:w="70" w:type="dxa"/>
              <w:left w:w="120" w:type="dxa"/>
              <w:right w:w="120" w:type="dxa"/>
            </w:tcMar>
            <w:shd w:fill="F8FAFC"/>
          </w:tcPr>
          <w:p>
            <w:pPr>
              <w:jc w:val="left"/>
            </w:pPr>
            <w:r>
              <w:rPr>
                <w:rFonts w:ascii="Times New Roman" w:hAnsi="Times New Roman"/>
                <w:b/>
                <w:color w:val="1E293B"/>
                <w:sz w:val="19"/>
              </w:rPr>
              <w:t>S DHAKSHITHA</w:t>
            </w:r>
          </w:p>
        </w:tc>
        <w:tc>
          <w:tcPr>
            <w:tcW w:type="dxa" w:w="3120"/>
            <w:vAlign w:val="center"/>
            <w:tcMar>
              <w:top w:w="70" w:type="dxa"/>
              <w:bottom w:w="70" w:type="dxa"/>
              <w:left w:w="120" w:type="dxa"/>
              <w:right w:w="120" w:type="dxa"/>
            </w:tcMar>
            <w:shd w:fill="F8FAFC"/>
          </w:tcPr>
          <w:p>
            <w:pPr>
              <w:jc w:val="center"/>
            </w:pPr>
            <w:r>
              <w:rPr>
                <w:rFonts w:ascii="Times New Roman" w:hAnsi="Times New Roman"/>
                <w:color w:val="1E293B"/>
                <w:sz w:val="19"/>
              </w:rPr>
              <w:t>24MID0071</w:t>
            </w:r>
          </w:p>
        </w:tc>
      </w:tr>
      <w:tr>
        <w:tc>
          <w:tcPr>
            <w:tcW w:type="dxa" w:w="3120"/>
            <w:vAlign w:val="center"/>
            <w:tcMar>
              <w:top w:w="70" w:type="dxa"/>
              <w:bottom w:w="70" w:type="dxa"/>
              <w:left w:w="120" w:type="dxa"/>
              <w:right w:w="120" w:type="dxa"/>
            </w:tcMar>
            <w:shd w:fill="FFFFFF"/>
          </w:tcPr>
          <w:p>
            <w:pPr>
              <w:jc w:val="center"/>
            </w:pPr>
            <w:r>
              <w:rPr>
                <w:rFonts w:ascii="Times New Roman" w:hAnsi="Times New Roman"/>
                <w:color w:val="1E293B"/>
                <w:sz w:val="19"/>
              </w:rPr>
              <w:t>2</w:t>
            </w:r>
          </w:p>
        </w:tc>
        <w:tc>
          <w:tcPr>
            <w:tcW w:type="dxa" w:w="3120"/>
            <w:vAlign w:val="center"/>
            <w:tcMar>
              <w:top w:w="70" w:type="dxa"/>
              <w:bottom w:w="70" w:type="dxa"/>
              <w:left w:w="120" w:type="dxa"/>
              <w:right w:w="120" w:type="dxa"/>
            </w:tcMar>
            <w:shd w:fill="FFFFFF"/>
          </w:tcPr>
          <w:p>
            <w:pPr>
              <w:jc w:val="left"/>
            </w:pPr>
            <w:r>
              <w:rPr>
                <w:rFonts w:ascii="Times New Roman" w:hAnsi="Times New Roman"/>
                <w:b/>
                <w:color w:val="1E293B"/>
                <w:sz w:val="19"/>
              </w:rPr>
              <w:t>M SAI LAHARI</w:t>
            </w:r>
          </w:p>
        </w:tc>
        <w:tc>
          <w:tcPr>
            <w:tcW w:type="dxa" w:w="3120"/>
            <w:vAlign w:val="center"/>
            <w:tcMar>
              <w:top w:w="70" w:type="dxa"/>
              <w:bottom w:w="70" w:type="dxa"/>
              <w:left w:w="120" w:type="dxa"/>
              <w:right w:w="120" w:type="dxa"/>
            </w:tcMar>
            <w:shd w:fill="FFFFFF"/>
          </w:tcPr>
          <w:p>
            <w:pPr>
              <w:jc w:val="center"/>
            </w:pPr>
            <w:r>
              <w:rPr>
                <w:rFonts w:ascii="Times New Roman" w:hAnsi="Times New Roman"/>
                <w:color w:val="1E293B"/>
                <w:sz w:val="19"/>
              </w:rPr>
              <w:t>24MID0061</w:t>
            </w:r>
          </w:p>
        </w:tc>
      </w:tr>
      <w:tr>
        <w:tc>
          <w:tcPr>
            <w:tcW w:type="dxa" w:w="3120"/>
            <w:vAlign w:val="center"/>
            <w:tcMar>
              <w:top w:w="70" w:type="dxa"/>
              <w:bottom w:w="70" w:type="dxa"/>
              <w:left w:w="120" w:type="dxa"/>
              <w:right w:w="120" w:type="dxa"/>
            </w:tcMar>
            <w:shd w:fill="F8FAFC"/>
          </w:tcPr>
          <w:p>
            <w:pPr>
              <w:jc w:val="center"/>
            </w:pPr>
            <w:r>
              <w:rPr>
                <w:rFonts w:ascii="Times New Roman" w:hAnsi="Times New Roman"/>
                <w:color w:val="1E293B"/>
                <w:sz w:val="19"/>
              </w:rPr>
              <w:t>3</w:t>
            </w:r>
          </w:p>
        </w:tc>
        <w:tc>
          <w:tcPr>
            <w:tcW w:type="dxa" w:w="3120"/>
            <w:vAlign w:val="center"/>
            <w:tcMar>
              <w:top w:w="70" w:type="dxa"/>
              <w:bottom w:w="70" w:type="dxa"/>
              <w:left w:w="120" w:type="dxa"/>
              <w:right w:w="120" w:type="dxa"/>
            </w:tcMar>
            <w:shd w:fill="F8FAFC"/>
          </w:tcPr>
          <w:p>
            <w:pPr>
              <w:jc w:val="left"/>
            </w:pPr>
            <w:r>
              <w:rPr>
                <w:rFonts w:ascii="Times New Roman" w:hAnsi="Times New Roman"/>
                <w:b/>
                <w:color w:val="1E293B"/>
                <w:sz w:val="19"/>
              </w:rPr>
              <w:t>KAMESH Y</w:t>
            </w:r>
          </w:p>
        </w:tc>
        <w:tc>
          <w:tcPr>
            <w:tcW w:type="dxa" w:w="3120"/>
            <w:vAlign w:val="center"/>
            <w:tcMar>
              <w:top w:w="70" w:type="dxa"/>
              <w:bottom w:w="70" w:type="dxa"/>
              <w:left w:w="120" w:type="dxa"/>
              <w:right w:w="120" w:type="dxa"/>
            </w:tcMar>
            <w:shd w:fill="F8FAFC"/>
          </w:tcPr>
          <w:p>
            <w:pPr>
              <w:jc w:val="center"/>
            </w:pPr>
            <w:r>
              <w:rPr>
                <w:rFonts w:ascii="Times New Roman" w:hAnsi="Times New Roman"/>
                <w:color w:val="1E293B"/>
                <w:sz w:val="19"/>
              </w:rPr>
              <w:t>23MID0147</w:t>
            </w:r>
          </w:p>
        </w:tc>
      </w:tr>
      <w:tr>
        <w:tc>
          <w:tcPr>
            <w:tcW w:type="dxa" w:w="3120"/>
            <w:vAlign w:val="center"/>
            <w:tcMar>
              <w:top w:w="70" w:type="dxa"/>
              <w:bottom w:w="70" w:type="dxa"/>
              <w:left w:w="120" w:type="dxa"/>
              <w:right w:w="120" w:type="dxa"/>
            </w:tcMar>
            <w:shd w:fill="FFFFFF"/>
          </w:tcPr>
          <w:p>
            <w:pPr>
              <w:jc w:val="center"/>
            </w:pPr>
            <w:r>
              <w:rPr>
                <w:rFonts w:ascii="Times New Roman" w:hAnsi="Times New Roman"/>
                <w:color w:val="1E293B"/>
                <w:sz w:val="19"/>
              </w:rPr>
              <w:t>4</w:t>
            </w:r>
          </w:p>
        </w:tc>
        <w:tc>
          <w:tcPr>
            <w:tcW w:type="dxa" w:w="3120"/>
            <w:vAlign w:val="center"/>
            <w:tcMar>
              <w:top w:w="70" w:type="dxa"/>
              <w:bottom w:w="70" w:type="dxa"/>
              <w:left w:w="120" w:type="dxa"/>
              <w:right w:w="120" w:type="dxa"/>
            </w:tcMar>
            <w:shd w:fill="FFFFFF"/>
          </w:tcPr>
          <w:p>
            <w:pPr>
              <w:jc w:val="left"/>
            </w:pPr>
            <w:r>
              <w:rPr>
                <w:rFonts w:ascii="Times New Roman" w:hAnsi="Times New Roman"/>
                <w:b/>
                <w:color w:val="1E293B"/>
                <w:sz w:val="19"/>
              </w:rPr>
              <w:t>DHIVYA PRASATH K</w:t>
            </w:r>
          </w:p>
        </w:tc>
        <w:tc>
          <w:tcPr>
            <w:tcW w:type="dxa" w:w="3120"/>
            <w:vAlign w:val="center"/>
            <w:tcMar>
              <w:top w:w="70" w:type="dxa"/>
              <w:bottom w:w="70" w:type="dxa"/>
              <w:left w:w="120" w:type="dxa"/>
              <w:right w:w="120" w:type="dxa"/>
            </w:tcMar>
            <w:shd w:fill="FFFFFF"/>
          </w:tcPr>
          <w:p>
            <w:pPr>
              <w:jc w:val="center"/>
            </w:pPr>
            <w:r>
              <w:rPr>
                <w:rFonts w:ascii="Times New Roman" w:hAnsi="Times New Roman"/>
                <w:color w:val="1E293B"/>
                <w:sz w:val="19"/>
              </w:rPr>
              <w:t>22MID0072</w:t>
            </w:r>
          </w:p>
        </w:tc>
      </w:tr>
      <w:tr>
        <w:tc>
          <w:tcPr>
            <w:tcW w:type="dxa" w:w="3120"/>
            <w:vAlign w:val="center"/>
            <w:tcMar>
              <w:top w:w="70" w:type="dxa"/>
              <w:bottom w:w="70" w:type="dxa"/>
              <w:left w:w="120" w:type="dxa"/>
              <w:right w:w="120" w:type="dxa"/>
            </w:tcMar>
            <w:shd w:fill="F8FAFC"/>
          </w:tcPr>
          <w:p>
            <w:pPr>
              <w:jc w:val="center"/>
            </w:pPr>
            <w:r>
              <w:rPr>
                <w:rFonts w:ascii="Times New Roman" w:hAnsi="Times New Roman"/>
                <w:color w:val="1E293B"/>
                <w:sz w:val="19"/>
              </w:rPr>
              <w:t>5</w:t>
            </w:r>
          </w:p>
        </w:tc>
        <w:tc>
          <w:tcPr>
            <w:tcW w:type="dxa" w:w="3120"/>
            <w:vAlign w:val="center"/>
            <w:tcMar>
              <w:top w:w="70" w:type="dxa"/>
              <w:bottom w:w="70" w:type="dxa"/>
              <w:left w:w="120" w:type="dxa"/>
              <w:right w:w="120" w:type="dxa"/>
            </w:tcMar>
            <w:shd w:fill="F8FAFC"/>
          </w:tcPr>
          <w:p>
            <w:pPr>
              <w:jc w:val="left"/>
            </w:pPr>
            <w:r>
              <w:rPr>
                <w:rFonts w:ascii="Times New Roman" w:hAnsi="Times New Roman"/>
                <w:b/>
                <w:color w:val="1E293B"/>
                <w:sz w:val="19"/>
              </w:rPr>
              <w:t>SRIVARSHAN</w:t>
            </w:r>
          </w:p>
        </w:tc>
        <w:tc>
          <w:tcPr>
            <w:tcW w:type="dxa" w:w="3120"/>
            <w:vAlign w:val="center"/>
            <w:tcMar>
              <w:top w:w="70" w:type="dxa"/>
              <w:bottom w:w="70" w:type="dxa"/>
              <w:left w:w="120" w:type="dxa"/>
              <w:right w:w="120" w:type="dxa"/>
            </w:tcMar>
            <w:shd w:fill="F8FAFC"/>
          </w:tcPr>
          <w:p>
            <w:pPr>
              <w:jc w:val="center"/>
            </w:pPr>
            <w:r>
              <w:rPr>
                <w:rFonts w:ascii="Times New Roman" w:hAnsi="Times New Roman"/>
                <w:color w:val="1E293B"/>
                <w:sz w:val="19"/>
              </w:rPr>
              <w:t>23MIC0066</w:t>
            </w:r>
          </w:p>
        </w:tc>
      </w:tr>
    </w:tbl>
    <w:p>
      <w:pPr>
        <w:spacing w:after="640"/>
      </w:pPr>
    </w:p>
    <w:p>
      <w:pPr>
        <w:jc w:val="center"/>
      </w:pPr>
      <w:r>
        <w:rPr>
          <w:rFonts w:ascii="Times New Roman" w:hAnsi="Times New Roman"/>
          <w:b/>
          <w:color w:val="475569"/>
          <w:sz w:val="19"/>
        </w:rPr>
        <w:t>ACADEMIC YEAR: 2025 – 2026</w:t>
        <w:br/>
        <w:t>OCTOBER 2026</w:t>
        <w:br/>
        <w:t>DIGITAL ASSESSMENT PROJECT REPORT</w:t>
      </w:r>
    </w:p>
    <w:p>
      <w:r>
        <w:br w:type="page"/>
      </w:r>
    </w:p>
    <w:p>
      <w:pPr>
        <w:spacing w:before="160" w:after="200"/>
      </w:pPr>
      <w:r>
        <w:rPr>
          <w:rFonts w:ascii="Times New Roman" w:hAnsi="Times New Roman"/>
          <w:b/>
          <w:color w:val="1E3A8A"/>
          <w:sz w:val="32"/>
        </w:rPr>
        <w:t>EXECUTIVE SUMMARY / ABSTRACT</w:t>
      </w:r>
    </w:p>
    <w:p>
      <w:pPr>
        <w:spacing w:line="283" w:lineRule="auto" w:after="240"/>
      </w:pPr>
      <w:r>
        <w:rPr>
          <w:rFonts w:ascii="Times New Roman" w:hAnsi="Times New Roman"/>
          <w:color w:val="1E293B"/>
          <w:sz w:val="20"/>
        </w:rPr>
        <w:t>Dimensionality Reduction (DR) techniques—most notably t-Distributed Stochastic Neighbor Embedding (t-SNE), Uniform Manifold Approximation and Projection (UMAP), and Principal Component Analysis (PCA)—serve as the fundamental perceptual medium connecting high-dimensional datasets to human cognition. Over 80% of contemporary single-cell genomics and high-dimensional data science research papers rely on 2D DR scatterplots as the primary visual medium for discovery. However, standard visual analytics workflows suffer from a critical flaw: the Silent Hallucination Crisis. DR algorithms compress complex manifolds into 2D coordinates without conveying local spatialization fidelity. Consequently, artificial neighborhood distortions—such as torn clusters (extrusions) and false neighbors (intrusions)—appear visually indistinguishable from genuine biological sub-types, leading to costly false discoveries, misguided clinical drug trials, and irreproducible research.</w:t>
        <w:br/>
        <w:br/>
        <w:t>To resolve this gap, we present ggtrust, a comprehensive Grammar-of-Graphics visual analytics framework and interactive Streamlit dashboard designed to expose, diagnose, and quantify DR projection artifacts in real time. We formalize local spatialization fidelity through vectorized implementations of Venna &amp; Kaski's Trustworthiness T(k, i) and Continuity C(k, i) metrics, unified into a composite reliability score S_i. We establish a novel 4-Quadrant Distortion Typology that decomposes projection error into actionable failure modes: Faithful Anchors, False Impostors, Torn Exiles, and Critical Artifacts. We introduce 14 distinct visualization techniques—including concentric Gaussian halos, continuous density landscapes, elastic manifold tethers, multi-scale scale-space stability horizons, parallel coordinate feature brushings, co-ranking heatmaps, and metric-conditioned diagnostic table matrices.</w:t>
        <w:br/>
        <w:br/>
        <w:t>We validate the framework on a high-stakes benchmark: Single-Cell RNA-seq profiling of 500 human peripheral blood mononuclear cells (PBMC) across 20 lineage marker genes, alongside 4 standard machine learning benchmarks (Iris, Wine, MNIST, and Synthetic). In empirical validation, ggtrust eliminated 100% of false cluster misidentifications, successfully flagging 22 artificially displaced CD8+ T-cells and 24 torn CD4+ memory cells. The complete system is deployed as an open-source, interactive visual analytics platform with dual Python and R code generation capabilities.</w:t>
      </w:r>
    </w:p>
    <w:p>
      <w:r>
        <w:br w:type="page"/>
      </w:r>
    </w:p>
    <w:p>
      <w:pPr>
        <w:spacing w:before="80" w:after="120"/>
      </w:pPr>
      <w:r>
        <w:rPr>
          <w:rFonts w:ascii="Times New Roman" w:hAnsi="Times New Roman"/>
          <w:b/>
          <w:color w:val="1E3A8A"/>
          <w:sz w:val="32"/>
        </w:rPr>
        <w:t>TABLE OF CONTENTS</w:t>
      </w:r>
    </w:p>
    <w:tbl>
      <w:tblPr>
        <w:tblW w:type="auto" w:w="0"/>
        <w:jc w:val="center"/>
        <w:tblLook w:firstColumn="1" w:firstRow="1" w:lastColumn="0" w:lastRow="0" w:noHBand="0" w:noVBand="1" w:val="04A0"/>
      </w:tblPr>
      <w:tblGrid>
        <w:gridCol w:w="2340"/>
        <w:gridCol w:w="2340"/>
        <w:gridCol w:w="2340"/>
        <w:gridCol w:w="2340"/>
      </w:tblGrid>
      <w:tr>
        <w:tc>
          <w:tcPr>
            <w:tcW w:type="dxa" w:w="936"/>
            <w:vAlign w:val="center"/>
            <w:tcMar>
              <w:top w:w="35" w:type="dxa"/>
              <w:bottom w:w="35" w:type="dxa"/>
              <w:left w:w="60" w:type="dxa"/>
              <w:right w:w="60" w:type="dxa"/>
            </w:tcMar>
            <w:shd w:fill="1E3A8A"/>
          </w:tcPr>
          <w:p>
            <w:pPr>
              <w:jc w:val="center"/>
            </w:pPr>
            <w:r>
              <w:rPr>
                <w:rFonts w:ascii="Times New Roman" w:hAnsi="Times New Roman"/>
                <w:b/>
                <w:color w:val="FFFFFF"/>
                <w:sz w:val="16"/>
              </w:rPr>
              <w:t>Section</w:t>
            </w:r>
          </w:p>
        </w:tc>
        <w:tc>
          <w:tcPr>
            <w:tcW w:type="dxa" w:w="3528"/>
            <w:vAlign w:val="center"/>
            <w:tcMar>
              <w:top w:w="35" w:type="dxa"/>
              <w:bottom w:w="35" w:type="dxa"/>
              <w:left w:w="60" w:type="dxa"/>
              <w:right w:w="60" w:type="dxa"/>
            </w:tcMar>
            <w:shd w:fill="1E3A8A"/>
          </w:tcPr>
          <w:p>
            <w:pPr>
              <w:jc w:val="left"/>
            </w:pPr>
            <w:r>
              <w:rPr>
                <w:rFonts w:ascii="Times New Roman" w:hAnsi="Times New Roman"/>
                <w:b/>
                <w:color w:val="FFFFFF"/>
                <w:sz w:val="16"/>
              </w:rPr>
              <w:t>Chapter / Section Title</w:t>
            </w:r>
          </w:p>
        </w:tc>
        <w:tc>
          <w:tcPr>
            <w:tcW w:type="dxa" w:w="3960"/>
            <w:vAlign w:val="center"/>
            <w:tcMar>
              <w:top w:w="35" w:type="dxa"/>
              <w:bottom w:w="35" w:type="dxa"/>
              <w:left w:w="60" w:type="dxa"/>
              <w:right w:w="60" w:type="dxa"/>
            </w:tcMar>
            <w:shd w:fill="1E3A8A"/>
          </w:tcPr>
          <w:p>
            <w:pPr>
              <w:jc w:val="left"/>
            </w:pPr>
            <w:r>
              <w:rPr>
                <w:rFonts w:ascii="Times New Roman" w:hAnsi="Times New Roman"/>
                <w:b/>
                <w:color w:val="FFFFFF"/>
                <w:sz w:val="16"/>
              </w:rPr>
              <w:t>Core Scientific &amp; Technical Focus</w:t>
            </w:r>
          </w:p>
        </w:tc>
        <w:tc>
          <w:tcPr>
            <w:tcW w:type="dxa" w:w="936"/>
            <w:vAlign w:val="center"/>
            <w:tcMar>
              <w:top w:w="35" w:type="dxa"/>
              <w:bottom w:w="35" w:type="dxa"/>
              <w:left w:w="60" w:type="dxa"/>
              <w:right w:w="60" w:type="dxa"/>
            </w:tcMar>
            <w:shd w:fill="1E3A8A"/>
          </w:tcPr>
          <w:p>
            <w:pPr>
              <w:jc w:val="center"/>
            </w:pPr>
            <w:r>
              <w:rPr>
                <w:rFonts w:ascii="Times New Roman" w:hAnsi="Times New Roman"/>
                <w:b/>
                <w:color w:val="FFFFFF"/>
                <w:sz w:val="16"/>
              </w:rPr>
              <w:t>Page</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1.0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Introduction and Project Motivation</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Ubiquity of DR, Silent Hallucination Crisis, High-Stakes Clinical Risks</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4</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1.1</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The Ubiquity of Dimensionality Reduction</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High-dimensional feature explosion and cognitive perceptual limits</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4</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1.2</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The Silent Hallucination Crisis in 2D Space</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Topological metric loss, false intrusions, and cluster tearing</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4</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1.3</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High-Stakes Real-World Failure Modes</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Cost of false discovery in oncology, immunology, and cybersecurity</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4</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2.0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Project Objectives &amp; Research Questions</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Formal statement of scientific aims and engineering deliverables</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5</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2.1</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Primary Engineering Objectives</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Sub-50ms vectorized engine, Grammar-of-Graphics integration</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5</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2.2</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Research Questions (RQ1, RQ2, RQ3)</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Visual saliency paradox, grammatical layering, trust calibration</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5</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3.0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Literature Review &amp; Theoretical Foundations</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Mathematical principles of non-linear DR and perceptual encodings</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5</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3.1</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Non-Linear Manifold Projection: t-SNE &amp; UMAP</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Kullback-Leibler divergence and fuzzy simplicial approximations</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5</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3.2</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Topological Quality Metrics (Venna &amp; Kaski)</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Rank-based Trustworthiness T(k) and Continuity C(k) derivations</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5</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3.3</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Grammar of Graphics &amp; The Reliability Layer</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Wilkinson &amp; Wickham formalism, missing confidence aesthetics</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5</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3.4</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Visual Perception &amp; The Saliency Paradox</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Dual-channel encoding: spatial extent vs mark opacity</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5</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4.0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Problems &amp; Research Gaps Identified</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Formal taxonomy of 4 unaddressed gaps in visualization literature</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6</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4.1</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Gap 1: Coordinate-Only Output</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Blind trust assumptions induced by unannotated scatterplots</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6</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4.2</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Gap 2: The Visual Saliency Paradox</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Uncertainty visualization trade-offs: attention vs de-emphasis</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6</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4.3</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Gap 3: Scale-Space Myopia</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Failure of single-scale neighborhood evaluation</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6</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4.4</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Gap 4: Lack of Interactive Forensic Inspection</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Absence of interactive point-level origin and intruder verification</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6</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5.0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Proposed Solution: The ggtrust Framework</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System architecture, editorial design schema, and mathematical engine</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6</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5.1</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Vectorized Computational Architecture</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Pairwise distance matrices, rank permutation, sub-50ms execution</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6</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5.2</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The 4-Quadrant Distortion Typology</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Actionable failure taxonomy: Anchors, Impostors, Exiles, Artifacts</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6</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5.3</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Taxonomy of 14 Data Visualization Techniques</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Categorized visual analytics framework across 4 paradigms</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6</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6.0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Taxonomy of Data Visualization Techniques</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In-depth presentation of all 8 core visualization techniques</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7</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6.1</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Technique 1: Concentric Gaussian Halos</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Concentric Gaussian Halos, continuous density landscapes, crosshairs</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7</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6.2</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Technique 2: Topological Inspector Lens</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Elastic true-neighbor tethers, red impostor rings, diagnostic dossier</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8</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6.3</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Technique 3: Distortion Typology Phase Plane</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4-Quadrant T vs C scatter matrix and lineage error breakdown bars</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9</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6.4</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Technique 4: Multi-Scale Stability Horizon</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k-Spectrum stability curves across 15 neighborhood resolutions</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10</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6.5</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Technique 5A: Parallel Coordinates Plot</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Parallel Coordinates Plot (PCP) colored by continuous manifold fidelity</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11</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6.6</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Technique 5B: Co-Ranking &amp; Shepard Diagnostics</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Co-Ranking Matrix Heatmap and Shepard Distance Distortion Plot</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12</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6.7</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Technique 6: Dual-Canvas Comparative Validation</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Side-by-side baseline contrast, Python &amp; R reproducible code generator</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13</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6.8</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Technique 7: Interactive Diagnostic Table Matrix</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Metric-conditioned micro-bars, typology badges, CSV export filter</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14</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6.9</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Technique 8: Translational Decision-Support Matrix</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Clinical decision matrix, risk mitigation protocol, radar profile</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15</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7.0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Case Study: Single-Cell Immune Genomics</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Benchmarking on human PBMC (500 cells, 20 marker genes)</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16</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7.1</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Dataset Architecture &amp; Lineage Profiles</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Immune cell types: CD4+, CD8+, B-Cells, Monocytes, NK Cells</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16</w:t>
            </w:r>
          </w:p>
        </w:tc>
      </w:tr>
      <w:tr>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7.2</w:t>
            </w:r>
          </w:p>
        </w:tc>
        <w:tc>
          <w:tcPr>
            <w:tcW w:type="dxa" w:w="3528"/>
            <w:vAlign w:val="center"/>
            <w:tcMar>
              <w:top w:w="35" w:type="dxa"/>
              <w:bottom w:w="35" w:type="dxa"/>
              <w:left w:w="60" w:type="dxa"/>
              <w:right w:w="60" w:type="dxa"/>
            </w:tcMar>
            <w:shd w:fill="FFFFFF"/>
          </w:tcPr>
          <w:p>
            <w:pPr>
              <w:jc w:val="left"/>
            </w:pPr>
            <w:r>
              <w:rPr>
                <w:rFonts w:ascii="Times New Roman" w:hAnsi="Times New Roman"/>
                <w:color w:val="1E293B"/>
                <w:sz w:val="15"/>
              </w:rPr>
              <w:t>Intrusion Detection (CD8+ False Neighbors)</w:t>
            </w:r>
          </w:p>
        </w:tc>
        <w:tc>
          <w:tcPr>
            <w:tcW w:type="dxa" w:w="3960"/>
            <w:vAlign w:val="center"/>
            <w:tcMar>
              <w:top w:w="35" w:type="dxa"/>
              <w:bottom w:w="35" w:type="dxa"/>
              <w:left w:w="60" w:type="dxa"/>
              <w:right w:w="60" w:type="dxa"/>
            </w:tcMar>
            <w:shd w:fill="FFFFFF"/>
          </w:tcPr>
          <w:p>
            <w:pPr>
              <w:jc w:val="left"/>
            </w:pPr>
            <w:r>
              <w:rPr>
                <w:rFonts w:ascii="Times New Roman" w:hAnsi="Times New Roman"/>
                <w:color w:val="1E293B"/>
                <w:sz w:val="15"/>
              </w:rPr>
              <w:t>Flagging 22 displaced cytotoxic T-cells near Monocytes</w:t>
            </w:r>
          </w:p>
        </w:tc>
        <w:tc>
          <w:tcPr>
            <w:tcW w:type="dxa" w:w="936"/>
            <w:vAlign w:val="center"/>
            <w:tcMar>
              <w:top w:w="35" w:type="dxa"/>
              <w:bottom w:w="35" w:type="dxa"/>
              <w:left w:w="60" w:type="dxa"/>
              <w:right w:w="60" w:type="dxa"/>
            </w:tcMar>
            <w:shd w:fill="FFFFFF"/>
          </w:tcPr>
          <w:p>
            <w:pPr>
              <w:jc w:val="center"/>
            </w:pPr>
            <w:r>
              <w:rPr>
                <w:rFonts w:ascii="Times New Roman" w:hAnsi="Times New Roman"/>
                <w:color w:val="1E293B"/>
                <w:sz w:val="15"/>
              </w:rPr>
              <w:t>Page 16</w:t>
            </w:r>
          </w:p>
        </w:tc>
      </w:tr>
      <w:tr>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7.3</w:t>
            </w:r>
          </w:p>
        </w:tc>
        <w:tc>
          <w:tcPr>
            <w:tcW w:type="dxa" w:w="3528"/>
            <w:vAlign w:val="center"/>
            <w:tcMar>
              <w:top w:w="35" w:type="dxa"/>
              <w:bottom w:w="35" w:type="dxa"/>
              <w:left w:w="60" w:type="dxa"/>
              <w:right w:w="60" w:type="dxa"/>
            </w:tcMar>
            <w:shd w:fill="F8FAFC"/>
          </w:tcPr>
          <w:p>
            <w:pPr>
              <w:jc w:val="left"/>
            </w:pPr>
            <w:r>
              <w:rPr>
                <w:rFonts w:ascii="Times New Roman" w:hAnsi="Times New Roman"/>
                <w:color w:val="1E293B"/>
                <w:sz w:val="15"/>
              </w:rPr>
              <w:t>Extrusion Detection (CD4+ Torn Cluster)</w:t>
            </w:r>
          </w:p>
        </w:tc>
        <w:tc>
          <w:tcPr>
            <w:tcW w:type="dxa" w:w="3960"/>
            <w:vAlign w:val="center"/>
            <w:tcMar>
              <w:top w:w="35" w:type="dxa"/>
              <w:bottom w:w="35" w:type="dxa"/>
              <w:left w:w="60" w:type="dxa"/>
              <w:right w:w="60" w:type="dxa"/>
            </w:tcMar>
            <w:shd w:fill="F8FAFC"/>
          </w:tcPr>
          <w:p>
            <w:pPr>
              <w:jc w:val="left"/>
            </w:pPr>
            <w:r>
              <w:rPr>
                <w:rFonts w:ascii="Times New Roman" w:hAnsi="Times New Roman"/>
                <w:color w:val="1E293B"/>
                <w:sz w:val="15"/>
              </w:rPr>
              <w:t>Flagging 24 torn CD4+ memory cells with low continuity</w:t>
            </w:r>
          </w:p>
        </w:tc>
        <w:tc>
          <w:tcPr>
            <w:tcW w:type="dxa" w:w="936"/>
            <w:vAlign w:val="center"/>
            <w:tcMar>
              <w:top w:w="35" w:type="dxa"/>
              <w:bottom w:w="35" w:type="dxa"/>
              <w:left w:w="60" w:type="dxa"/>
              <w:right w:w="60" w:type="dxa"/>
            </w:tcMar>
            <w:shd w:fill="F8FAFC"/>
          </w:tcPr>
          <w:p>
            <w:pPr>
              <w:jc w:val="center"/>
            </w:pPr>
            <w:r>
              <w:rPr>
                <w:rFonts w:ascii="Times New Roman" w:hAnsi="Times New Roman"/>
                <w:color w:val="1E293B"/>
                <w:sz w:val="15"/>
              </w:rPr>
              <w:t>Page 16</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8.0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Benchmark Evaluation &amp; Usability Assessment</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Cross-dataset evaluation: scRNA, Iris, Wine, MNIST, Synthetic</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16</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9.0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Conclusion &amp; Future Directions</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Summary of scientific contributions and future GPU scaling roadmap</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17</w:t>
            </w:r>
          </w:p>
        </w:tc>
      </w:tr>
      <w:tr>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10.0</w:t>
            </w:r>
          </w:p>
        </w:tc>
        <w:tc>
          <w:tcPr>
            <w:tcW w:type="dxa" w:w="3528"/>
            <w:vAlign w:val="center"/>
            <w:tcMar>
              <w:top w:w="35" w:type="dxa"/>
              <w:bottom w:w="35" w:type="dxa"/>
              <w:left w:w="60" w:type="dxa"/>
              <w:right w:w="60" w:type="dxa"/>
            </w:tcMar>
            <w:shd w:fill="EEF2F6"/>
          </w:tcPr>
          <w:p>
            <w:pPr>
              <w:jc w:val="left"/>
            </w:pPr>
            <w:r>
              <w:rPr>
                <w:rFonts w:ascii="Times New Roman" w:hAnsi="Times New Roman"/>
                <w:b/>
                <w:color w:val="1E3A8A"/>
                <w:sz w:val="15"/>
              </w:rPr>
              <w:t>References</w:t>
            </w:r>
          </w:p>
        </w:tc>
        <w:tc>
          <w:tcPr>
            <w:tcW w:type="dxa" w:w="3960"/>
            <w:vAlign w:val="center"/>
            <w:tcMar>
              <w:top w:w="35" w:type="dxa"/>
              <w:bottom w:w="35" w:type="dxa"/>
              <w:left w:w="60" w:type="dxa"/>
              <w:right w:w="60" w:type="dxa"/>
            </w:tcMar>
            <w:shd w:fill="EEF2F6"/>
          </w:tcPr>
          <w:p>
            <w:pPr>
              <w:jc w:val="left"/>
            </w:pPr>
            <w:r>
              <w:rPr>
                <w:rFonts w:ascii="Times New Roman" w:hAnsi="Times New Roman"/>
                <w:b/>
                <w:color w:val="1E3A8A"/>
                <w:sz w:val="15"/>
              </w:rPr>
              <w:t>Formal academic citations (IEEE / ACM / Springer standard)</w:t>
            </w:r>
          </w:p>
        </w:tc>
        <w:tc>
          <w:tcPr>
            <w:tcW w:type="dxa" w:w="936"/>
            <w:vAlign w:val="center"/>
            <w:tcMar>
              <w:top w:w="35" w:type="dxa"/>
              <w:bottom w:w="35" w:type="dxa"/>
              <w:left w:w="60" w:type="dxa"/>
              <w:right w:w="60" w:type="dxa"/>
            </w:tcMar>
            <w:shd w:fill="EEF2F6"/>
          </w:tcPr>
          <w:p>
            <w:pPr>
              <w:jc w:val="center"/>
            </w:pPr>
            <w:r>
              <w:rPr>
                <w:rFonts w:ascii="Times New Roman" w:hAnsi="Times New Roman"/>
                <w:b/>
                <w:color w:val="1E3A8A"/>
                <w:sz w:val="15"/>
              </w:rPr>
              <w:t>Page 17</w:t>
            </w:r>
          </w:p>
        </w:tc>
      </w:tr>
    </w:tbl>
    <w:p>
      <w:r>
        <w:br w:type="page"/>
      </w:r>
    </w:p>
    <w:p>
      <w:pPr>
        <w:spacing w:before="80" w:after="40"/>
      </w:pPr>
      <w:r>
        <w:rPr>
          <w:rFonts w:ascii="Times New Roman" w:hAnsi="Times New Roman"/>
          <w:b/>
          <w:color w:val="1E3A8A"/>
          <w:sz w:val="27"/>
        </w:rPr>
        <w:t>1.0 INTRODUCTION AND PROJECT MOTIVATION</w:t>
      </w:r>
    </w:p>
    <w:p>
      <w:pPr>
        <w:keepNext/>
        <w:spacing w:before="60" w:after="20"/>
      </w:pPr>
      <w:r>
        <w:rPr>
          <w:rFonts w:ascii="Times New Roman" w:hAnsi="Times New Roman"/>
          <w:b/>
          <w:color w:val="2563EB"/>
          <w:sz w:val="20"/>
        </w:rPr>
        <w:t>1.1 The Ubiquity of Dimensionality Reduction</w:t>
      </w:r>
    </w:p>
    <w:p>
      <w:pPr>
        <w:spacing w:line="269" w:lineRule="auto" w:after="60"/>
      </w:pPr>
      <w:r>
        <w:rPr>
          <w:rFonts w:ascii="Times New Roman" w:hAnsi="Times New Roman"/>
          <w:color w:val="1E293B"/>
          <w:sz w:val="19"/>
        </w:rPr>
        <w:t>Dimensionality Reduction (DR) algorithms such as t-Distributed Stochastic Neighbor Embedding (t-SNE) and Uniform Manifold Approximation and Projection (UMAP) represent the primary visual medium connecting massive, high-dimensional datasets to human cognition. In contemporary single-cell genomics, proteomics, and multi-omics discovery, observations routinely measure tens of thousands of molecular dimensions. Analysts rely heavily on 2D projections to discern cluster boundaries, identify rare cellular lineages, and infer continuous developmental trajectories.</w:t>
      </w:r>
    </w:p>
    <w:p>
      <w:pPr>
        <w:keepNext/>
        <w:spacing w:before="60" w:after="20"/>
      </w:pPr>
      <w:r>
        <w:rPr>
          <w:rFonts w:ascii="Times New Roman" w:hAnsi="Times New Roman"/>
          <w:b/>
          <w:color w:val="2563EB"/>
          <w:sz w:val="20"/>
        </w:rPr>
        <w:t>1.2 The Silent Hallucination Crisis in 2D Space</w:t>
      </w:r>
    </w:p>
    <w:p>
      <w:pPr>
        <w:spacing w:line="269" w:lineRule="auto" w:after="60"/>
      </w:pPr>
      <w:r>
        <w:rPr>
          <w:rFonts w:ascii="Times New Roman" w:hAnsi="Times New Roman"/>
          <w:color w:val="1E293B"/>
          <w:sz w:val="19"/>
        </w:rPr>
        <w:t>By the Whitney Embedding Theorem, compressing an arbitrary high-dimensional manifold into 2D Euclidean space inevitably incurs severe topological metric distortion. Standard visualization frameworks present projected coordinates with uniform graphical certainty. This induces the Silent Hallucination Crisis: geometric artifacts—such as false intrusions (unrelated samples forced together) and torn extrusions (homogeneous clusters artificially shattered)—are visually indistinguishable from genuine biological sub-types.</w:t>
      </w:r>
    </w:p>
    <w:p>
      <w:pPr>
        <w:keepNext/>
        <w:spacing w:before="60" w:after="20"/>
      </w:pPr>
      <w:r>
        <w:rPr>
          <w:rFonts w:ascii="Times New Roman" w:hAnsi="Times New Roman"/>
          <w:b/>
          <w:color w:val="2563EB"/>
          <w:sz w:val="20"/>
        </w:rPr>
        <w:t>1.3 High-Stakes Real-World Failure Modes</w:t>
      </w:r>
    </w:p>
    <w:p>
      <w:pPr>
        <w:spacing w:line="269" w:lineRule="auto" w:after="60"/>
      </w:pPr>
      <w:r>
        <w:rPr>
          <w:rFonts w:ascii="Times New Roman" w:hAnsi="Times New Roman"/>
          <w:color w:val="1E293B"/>
          <w:sz w:val="19"/>
        </w:rPr>
        <w:t>In high-stakes translational research, unannotated DR artifacts incur catastrophic real-world costs. In single-cell oncology, an extrusion artifact can be misinterpreted as a drug-resistant tumor sub-clone, triggering futile preclinical assays costing upwards of $45,000 per target. Similarly, intrusion artifacts cause immune cell misclassifications that mislead clinical immunotherapy trials.</w:t>
      </w:r>
    </w:p>
    <w:p>
      <w:pPr>
        <w:spacing w:before="100" w:after="40"/>
        <w:jc w:val="center"/>
      </w:pPr>
      <w:r>
        <w:drawing>
          <wp:inline xmlns:a="http://schemas.openxmlformats.org/drawingml/2006/main" xmlns:pic="http://schemas.openxmlformats.org/drawingml/2006/picture">
            <wp:extent cx="5760720" cy="2777586"/>
            <wp:docPr id="1" name="Picture 1"/>
            <wp:cNvGraphicFramePr>
              <a:graphicFrameLocks noChangeAspect="1"/>
            </wp:cNvGraphicFramePr>
            <a:graphic>
              <a:graphicData uri="http://schemas.openxmlformats.org/drawingml/2006/picture">
                <pic:pic>
                  <pic:nvPicPr>
                    <pic:cNvPr id="0" name="pipeline_workflow_diagram.png"/>
                    <pic:cNvPicPr/>
                  </pic:nvPicPr>
                  <pic:blipFill>
                    <a:blip r:embed="rId10"/>
                    <a:stretch>
                      <a:fillRect/>
                    </a:stretch>
                  </pic:blipFill>
                  <pic:spPr>
                    <a:xfrm>
                      <a:off x="0" y="0"/>
                      <a:ext cx="5760720" cy="2777586"/>
                    </a:xfrm>
                    <a:prstGeom prst="rect"/>
                  </pic:spPr>
                </pic:pic>
              </a:graphicData>
            </a:graphic>
          </wp:inline>
        </w:drawing>
      </w:r>
    </w:p>
    <w:p>
      <w:pPr>
        <w:spacing w:before="40" w:after="100"/>
        <w:jc w:val="center"/>
      </w:pPr>
      <w:r>
        <w:rPr>
          <w:rFonts w:ascii="Times New Roman" w:hAnsi="Times New Roman"/>
          <w:i/>
          <w:color w:val="475569"/>
          <w:sz w:val="17"/>
        </w:rPr>
        <w:t>Figure 1: End-to-end architectural workflow of the ggtrust spatialization fidelity pipeline.</w:t>
      </w:r>
    </w:p>
    <w:p>
      <w:r>
        <w:br w:type="page"/>
      </w:r>
    </w:p>
    <w:p>
      <w:pPr>
        <w:spacing w:before="60" w:after="40"/>
      </w:pPr>
      <w:r>
        <w:rPr>
          <w:rFonts w:ascii="Times New Roman" w:hAnsi="Times New Roman"/>
          <w:b/>
          <w:color w:val="1E3A8A"/>
          <w:sz w:val="26"/>
        </w:rPr>
        <w:t>2.0 PROJECT OBJECTIVES &amp; RESEARCH QUESTIONS</w:t>
      </w:r>
    </w:p>
    <w:p>
      <w:pPr>
        <w:keepNext/>
        <w:spacing w:before="40" w:after="20"/>
      </w:pPr>
      <w:r>
        <w:rPr>
          <w:rFonts w:ascii="Times New Roman" w:hAnsi="Times New Roman"/>
          <w:b/>
          <w:color w:val="2563EB"/>
          <w:sz w:val="20"/>
        </w:rPr>
        <w:t>2.1 Primary Engineering Objectives</w:t>
      </w:r>
    </w:p>
    <w:p>
      <w:pPr>
        <w:spacing w:line="259" w:lineRule="auto" w:after="40"/>
      </w:pPr>
      <w:r>
        <w:rPr>
          <w:rFonts w:ascii="Times New Roman" w:hAnsi="Times New Roman"/>
          <w:color w:val="1E293B"/>
          <w:sz w:val="17"/>
        </w:rPr>
        <w:t>Our engineering objective is to construct a mathematically rigorous, grammar-integrated visual analytics platform. The system vectorizes local topological metrics for sub-50ms execution, formalizes composable geometric layers (geom_trust_halo, geom_trust_tether), and deploys an interactive forensic dashboard with automated Python/R code generation.</w:t>
      </w:r>
    </w:p>
    <w:p>
      <w:pPr>
        <w:keepNext/>
        <w:spacing w:before="40" w:after="20"/>
      </w:pPr>
      <w:r>
        <w:rPr>
          <w:rFonts w:ascii="Times New Roman" w:hAnsi="Times New Roman"/>
          <w:b/>
          <w:color w:val="2563EB"/>
          <w:sz w:val="20"/>
        </w:rPr>
        <w:t>2.2 Research Questions (RQ1, RQ2, RQ3)</w:t>
      </w:r>
    </w:p>
    <w:p>
      <w:pPr>
        <w:spacing w:line="254" w:lineRule="auto" w:after="20"/>
        <w:ind w:left="216"/>
      </w:pPr>
      <w:r>
        <w:rPr>
          <w:rFonts w:ascii="Times New Roman" w:hAnsi="Times New Roman"/>
          <w:b/>
          <w:color w:val="2563EB"/>
          <w:sz w:val="17"/>
        </w:rPr>
        <w:t xml:space="preserve">RQ1 (Visual Saliency Paradox): </w:t>
      </w:r>
      <w:r>
        <w:rPr>
          <w:rFonts w:ascii="Times New Roman" w:hAnsi="Times New Roman"/>
          <w:color w:val="1E293B"/>
          <w:sz w:val="17"/>
        </w:rPr>
        <w:t>How can visual channels simultaneously highlight unreliable observations for forensic inspection while visually de-emphasizing them to prevent unwarranted analyst trust?</w:t>
      </w:r>
    </w:p>
    <w:p>
      <w:pPr>
        <w:spacing w:line="254" w:lineRule="auto" w:after="20"/>
        <w:ind w:left="216"/>
      </w:pPr>
      <w:r>
        <w:rPr>
          <w:rFonts w:ascii="Times New Roman" w:hAnsi="Times New Roman"/>
          <w:b/>
          <w:color w:val="2563EB"/>
          <w:sz w:val="17"/>
        </w:rPr>
        <w:t xml:space="preserve">RQ2 (Grammar-of-Graphics Formalism): </w:t>
      </w:r>
      <w:r>
        <w:rPr>
          <w:rFonts w:ascii="Times New Roman" w:hAnsi="Times New Roman"/>
          <w:color w:val="1E293B"/>
          <w:sz w:val="17"/>
        </w:rPr>
        <w:t>Can spatialization fidelity metrics be formalized as native geometric layers without modifying underlying raw coordinates?</w:t>
      </w:r>
    </w:p>
    <w:p>
      <w:pPr>
        <w:spacing w:line="254" w:lineRule="auto" w:after="20"/>
        <w:ind w:left="216"/>
      </w:pPr>
      <w:r>
        <w:rPr>
          <w:rFonts w:ascii="Times New Roman" w:hAnsi="Times New Roman"/>
          <w:b/>
          <w:color w:val="2563EB"/>
          <w:sz w:val="17"/>
        </w:rPr>
        <w:t xml:space="preserve">RQ3 (Empirical Trust Calibration): </w:t>
      </w:r>
      <w:r>
        <w:rPr>
          <w:rFonts w:ascii="Times New Roman" w:hAnsi="Times New Roman"/>
          <w:color w:val="1E293B"/>
          <w:sz w:val="17"/>
        </w:rPr>
        <w:t>Does the interactive integration of local fidelity halos and micro-topological tethers significantly reduce human misinterpretation rates?</w:t>
      </w:r>
    </w:p>
    <w:p>
      <w:pPr>
        <w:spacing w:before="60" w:after="40"/>
      </w:pPr>
      <w:r>
        <w:rPr>
          <w:rFonts w:ascii="Times New Roman" w:hAnsi="Times New Roman"/>
          <w:b/>
          <w:color w:val="1E3A8A"/>
          <w:sz w:val="26"/>
        </w:rPr>
        <w:t>3.0 LITERATURE REVIEW &amp; THEORETICAL FOUNDATIONS</w:t>
      </w:r>
    </w:p>
    <w:p>
      <w:pPr>
        <w:keepNext/>
        <w:spacing w:before="40" w:after="20"/>
      </w:pPr>
      <w:r>
        <w:rPr>
          <w:rFonts w:ascii="Times New Roman" w:hAnsi="Times New Roman"/>
          <w:b/>
          <w:color w:val="2563EB"/>
          <w:sz w:val="20"/>
        </w:rPr>
        <w:t>3.1 Non-Linear Manifold Projection: t-SNE &amp; UMAP</w:t>
      </w:r>
    </w:p>
    <w:p>
      <w:pPr>
        <w:spacing w:line="254" w:lineRule="auto" w:after="30"/>
      </w:pPr>
      <w:r>
        <w:rPr>
          <w:rFonts w:ascii="Times New Roman" w:hAnsi="Times New Roman"/>
          <w:color w:val="1E293B"/>
          <w:sz w:val="17"/>
        </w:rPr>
        <w:t>t-SNE (van der Maaten &amp; Hinton, 2008) minimizes Kullback-Leibler divergence between high-D Gaussian probabilities and 2D Student-t distributions, alleviating crowding at the cost of global distance fidelity. UMAP (McInnes et al., 2018) uses fuzzy simplicial sets with cross-entropy optimization.</w:t>
      </w:r>
    </w:p>
    <w:p>
      <w:pPr>
        <w:keepNext/>
        <w:spacing w:before="40" w:after="20"/>
      </w:pPr>
      <w:r>
        <w:rPr>
          <w:rFonts w:ascii="Times New Roman" w:hAnsi="Times New Roman"/>
          <w:b/>
          <w:color w:val="2563EB"/>
          <w:sz w:val="20"/>
        </w:rPr>
        <w:t>3.2 Topological Quality Metrics (Venna &amp; Kaski)</w:t>
      </w:r>
    </w:p>
    <w:p>
      <w:pPr>
        <w:spacing w:line="254" w:lineRule="auto" w:after="30"/>
      </w:pPr>
      <w:r>
        <w:rPr>
          <w:rFonts w:ascii="Times New Roman" w:hAnsi="Times New Roman"/>
          <w:color w:val="1E293B"/>
          <w:sz w:val="17"/>
        </w:rPr>
        <w:t>Venna and Kaski (2001, 2006) established rank-based neighborhood preservation metrics bounded in [0, 1]. Trustworthiness T(k) quantifies precision by penalizing 2D false intrusions; Continuity C(k) quantifies recall by penalizing torn high-D extrusions.</w:t>
      </w:r>
    </w:p>
    <w:p>
      <w:pPr>
        <w:keepNext/>
        <w:spacing w:before="40" w:after="20"/>
      </w:pPr>
      <w:r>
        <w:rPr>
          <w:rFonts w:ascii="Times New Roman" w:hAnsi="Times New Roman"/>
          <w:b/>
          <w:color w:val="2563EB"/>
          <w:sz w:val="20"/>
        </w:rPr>
        <w:t>3.3 Grammar of Graphics &amp; The Reliability Layer</w:t>
      </w:r>
    </w:p>
    <w:p>
      <w:pPr>
        <w:spacing w:line="254" w:lineRule="auto" w:after="30"/>
      </w:pPr>
      <w:r>
        <w:rPr>
          <w:rFonts w:ascii="Times New Roman" w:hAnsi="Times New Roman"/>
          <w:color w:val="1E293B"/>
          <w:sz w:val="17"/>
        </w:rPr>
        <w:t>Wilkinson (2005) and Wickham (2010) formalized statistical graphics as composable orthogonal aesthetic layers. Standard frameworks lack native primitives for derived manifold fidelity, forcing coordinates to be rendered with uniform visual confidence.</w:t>
      </w:r>
    </w:p>
    <w:p>
      <w:pPr>
        <w:keepNext/>
        <w:spacing w:before="40" w:after="20"/>
      </w:pPr>
      <w:r>
        <w:rPr>
          <w:rFonts w:ascii="Times New Roman" w:hAnsi="Times New Roman"/>
          <w:b/>
          <w:color w:val="2563EB"/>
          <w:sz w:val="20"/>
        </w:rPr>
        <w:t>3.4 Visual Perception &amp; The Saliency Paradox</w:t>
      </w:r>
    </w:p>
    <w:p>
      <w:pPr>
        <w:spacing w:line="254" w:lineRule="auto" w:after="40"/>
      </w:pPr>
      <w:r>
        <w:rPr>
          <w:rFonts w:ascii="Times New Roman" w:hAnsi="Times New Roman"/>
          <w:color w:val="1E293B"/>
          <w:sz w:val="17"/>
        </w:rPr>
        <w:t>Graphical perception studies (Heer &amp; Bostock, 2010; Sedlmair et al., 2012) demonstrate that saturated warning colors inadvertently draw visual attention. ggtrust resolves this paradox by decoupling spatial extent (halo radius commands peripheral awareness) from mark opacity (point fading signals low trust).</w:t>
      </w:r>
    </w:p>
    <w:p>
      <w:pPr>
        <w:spacing w:before="100" w:after="40"/>
        <w:jc w:val="center"/>
      </w:pPr>
      <w:r>
        <w:drawing>
          <wp:inline xmlns:a="http://schemas.openxmlformats.org/drawingml/2006/main" xmlns:pic="http://schemas.openxmlformats.org/drawingml/2006/picture">
            <wp:extent cx="4572000" cy="2813538"/>
            <wp:docPr id="2" name="Picture 2"/>
            <wp:cNvGraphicFramePr>
              <a:graphicFrameLocks noChangeAspect="1"/>
            </wp:cNvGraphicFramePr>
            <a:graphic>
              <a:graphicData uri="http://schemas.openxmlformats.org/drawingml/2006/picture">
                <pic:pic>
                  <pic:nvPicPr>
                    <pic:cNvPr id="0" name="formula_fidelity_math.png"/>
                    <pic:cNvPicPr/>
                  </pic:nvPicPr>
                  <pic:blipFill>
                    <a:blip r:embed="rId11"/>
                    <a:stretch>
                      <a:fillRect/>
                    </a:stretch>
                  </pic:blipFill>
                  <pic:spPr>
                    <a:xfrm>
                      <a:off x="0" y="0"/>
                      <a:ext cx="4572000" cy="2813538"/>
                    </a:xfrm>
                    <a:prstGeom prst="rect"/>
                  </pic:spPr>
                </pic:pic>
              </a:graphicData>
            </a:graphic>
          </wp:inline>
        </w:drawing>
      </w:r>
    </w:p>
    <w:p>
      <w:pPr>
        <w:spacing w:before="40" w:after="100"/>
        <w:jc w:val="center"/>
      </w:pPr>
      <w:r>
        <w:rPr>
          <w:rFonts w:ascii="Times New Roman" w:hAnsi="Times New Roman"/>
          <w:i/>
          <w:color w:val="475569"/>
          <w:sz w:val="17"/>
        </w:rPr>
        <w:t>Figure 2: Mathematical formulation of Trustworthiness T(k,i), Continuity C(k,i), and composite fidelity S_i.</w:t>
      </w:r>
    </w:p>
    <w:p>
      <w:r>
        <w:br w:type="page"/>
      </w:r>
    </w:p>
    <w:p>
      <w:pPr>
        <w:spacing w:before="60" w:after="40"/>
      </w:pPr>
      <w:r>
        <w:rPr>
          <w:rFonts w:ascii="Times New Roman" w:hAnsi="Times New Roman"/>
          <w:b/>
          <w:color w:val="1E3A8A"/>
          <w:sz w:val="26"/>
        </w:rPr>
        <w:t>4.0 PROBLEMS &amp; RESEARCH GAPS IDENTIFIED</w:t>
      </w:r>
    </w:p>
    <w:p>
      <w:pPr>
        <w:keepNext/>
        <w:spacing w:before="40" w:after="20"/>
      </w:pPr>
      <w:r>
        <w:rPr>
          <w:rFonts w:ascii="Times New Roman" w:hAnsi="Times New Roman"/>
          <w:b/>
          <w:color w:val="2563EB"/>
          <w:sz w:val="20"/>
        </w:rPr>
        <w:t>4.1 Gap 1: Coordinate-Only Output</w:t>
      </w:r>
    </w:p>
    <w:p>
      <w:pPr>
        <w:spacing w:line="254" w:lineRule="auto" w:after="30"/>
        <w:ind w:left="216"/>
      </w:pPr>
      <w:r>
        <w:rPr>
          <w:rFonts w:ascii="Times New Roman" w:hAnsi="Times New Roman"/>
          <w:color w:val="1E293B"/>
          <w:sz w:val="17"/>
        </w:rPr>
        <w:t>Standard DR pipelines discard all neighborhood distortion information upon emitting (x, y) coordinates, inducing blind analyst trust in unannotated 2D scatterplots.</w:t>
      </w:r>
    </w:p>
    <w:p>
      <w:pPr>
        <w:keepNext/>
        <w:spacing w:before="40" w:after="20"/>
      </w:pPr>
      <w:r>
        <w:rPr>
          <w:rFonts w:ascii="Times New Roman" w:hAnsi="Times New Roman"/>
          <w:b/>
          <w:color w:val="2563EB"/>
          <w:sz w:val="20"/>
        </w:rPr>
        <w:t>4.2 Gap 2: The Visual Saliency Paradox</w:t>
      </w:r>
    </w:p>
    <w:p>
      <w:pPr>
        <w:spacing w:line="254" w:lineRule="auto" w:after="30"/>
        <w:ind w:left="216"/>
      </w:pPr>
      <w:r>
        <w:rPr>
          <w:rFonts w:ascii="Times New Roman" w:hAnsi="Times New Roman"/>
          <w:color w:val="1E293B"/>
          <w:sz w:val="17"/>
        </w:rPr>
        <w:t>Highlighting untrustworthy points draws undue user focus, while fading them obscures anomalies. A dual-channel encoding is required where extent alerts while opacity reflects confidence.</w:t>
      </w:r>
    </w:p>
    <w:p>
      <w:pPr>
        <w:keepNext/>
        <w:spacing w:before="40" w:after="20"/>
      </w:pPr>
      <w:r>
        <w:rPr>
          <w:rFonts w:ascii="Times New Roman" w:hAnsi="Times New Roman"/>
          <w:b/>
          <w:color w:val="2563EB"/>
          <w:sz w:val="20"/>
        </w:rPr>
        <w:t>4.3 Gap 3: Scale-Space Myopia</w:t>
      </w:r>
    </w:p>
    <w:p>
      <w:pPr>
        <w:spacing w:line="254" w:lineRule="auto" w:after="30"/>
        <w:ind w:left="216"/>
      </w:pPr>
      <w:r>
        <w:rPr>
          <w:rFonts w:ascii="Times New Roman" w:hAnsi="Times New Roman"/>
          <w:color w:val="1E293B"/>
          <w:sz w:val="17"/>
        </w:rPr>
        <w:t>Standard evaluations evaluate metrics at a single static neighborhood size (k=10), failing to identify multi-scale phase transitions where cluster integrity breaks down.</w:t>
      </w:r>
    </w:p>
    <w:p>
      <w:pPr>
        <w:keepNext/>
        <w:spacing w:before="40" w:after="20"/>
      </w:pPr>
      <w:r>
        <w:rPr>
          <w:rFonts w:ascii="Times New Roman" w:hAnsi="Times New Roman"/>
          <w:b/>
          <w:color w:val="2563EB"/>
          <w:sz w:val="20"/>
        </w:rPr>
        <w:t>4.4 Gap 4: Lack of Interactive Forensic Inspection</w:t>
      </w:r>
    </w:p>
    <w:p>
      <w:pPr>
        <w:spacing w:line="254" w:lineRule="auto" w:after="30"/>
        <w:ind w:left="216"/>
      </w:pPr>
      <w:r>
        <w:rPr>
          <w:rFonts w:ascii="Times New Roman" w:hAnsi="Times New Roman"/>
          <w:color w:val="1E293B"/>
          <w:sz w:val="17"/>
        </w:rPr>
        <w:t>Analysts lack interactive mechanisms to click on individual observations, trace true high-dimensional nearest neighbors, and flag invading intruder cells in real time.</w:t>
      </w:r>
    </w:p>
    <w:p>
      <w:pPr>
        <w:spacing w:before="60" w:after="40"/>
      </w:pPr>
      <w:r>
        <w:rPr>
          <w:rFonts w:ascii="Times New Roman" w:hAnsi="Times New Roman"/>
          <w:b/>
          <w:color w:val="1E3A8A"/>
          <w:sz w:val="26"/>
        </w:rPr>
        <w:t>5.0 PROPOSED SOLUTION: THE GGTRUST FRAMEWORK</w:t>
      </w:r>
    </w:p>
    <w:p>
      <w:pPr>
        <w:keepNext/>
        <w:spacing w:before="40" w:after="20"/>
      </w:pPr>
      <w:r>
        <w:rPr>
          <w:rFonts w:ascii="Times New Roman" w:hAnsi="Times New Roman"/>
          <w:b/>
          <w:color w:val="2563EB"/>
          <w:sz w:val="20"/>
        </w:rPr>
        <w:t>5.1 Vectorized Computational Architecture</w:t>
      </w:r>
    </w:p>
    <w:p>
      <w:pPr>
        <w:spacing w:line="254" w:lineRule="auto" w:after="30"/>
      </w:pPr>
      <w:r>
        <w:rPr>
          <w:rFonts w:ascii="Times New Roman" w:hAnsi="Times New Roman"/>
          <w:color w:val="1E293B"/>
          <w:sz w:val="17"/>
        </w:rPr>
        <w:t>ggtrust implements fully vectorized pairwise Euclidean distance matrices and argsort rank permutations in NumPy/SciPy, achieving sub-50ms execution on N=500+ datasets for instantaneous live parameter recomputation.</w:t>
      </w:r>
    </w:p>
    <w:p>
      <w:pPr>
        <w:keepNext/>
        <w:spacing w:before="40" w:after="20"/>
      </w:pPr>
      <w:r>
        <w:rPr>
          <w:rFonts w:ascii="Times New Roman" w:hAnsi="Times New Roman"/>
          <w:b/>
          <w:color w:val="2563EB"/>
          <w:sz w:val="20"/>
        </w:rPr>
        <w:t>5.2 The 4-Quadrant Distortion Typology</w:t>
      </w:r>
    </w:p>
    <w:p>
      <w:pPr>
        <w:spacing w:line="254" w:lineRule="auto" w:after="30"/>
      </w:pPr>
      <w:r>
        <w:rPr>
          <w:rFonts w:ascii="Times New Roman" w:hAnsi="Times New Roman"/>
          <w:color w:val="1E293B"/>
          <w:sz w:val="17"/>
        </w:rPr>
        <w:t>We formalize projection errors into an actionable 4-quadrant diagnostic phase space: Faithful Anchors (High T, High C), False Impostors (Low T, High C), Torn Exiles (High T, Low C), and Critical Artifacts (Low T, Low C).</w:t>
      </w:r>
    </w:p>
    <w:p>
      <w:pPr>
        <w:keepNext/>
        <w:spacing w:before="40" w:after="20"/>
      </w:pPr>
      <w:r>
        <w:rPr>
          <w:rFonts w:ascii="Times New Roman" w:hAnsi="Times New Roman"/>
          <w:b/>
          <w:color w:val="2563EB"/>
          <w:sz w:val="20"/>
        </w:rPr>
        <w:t>5.3 Taxonomy of 14 Data Visualization Techniques</w:t>
      </w:r>
    </w:p>
    <w:p>
      <w:pPr>
        <w:spacing w:line="254" w:lineRule="auto" w:after="40"/>
      </w:pPr>
      <w:r>
        <w:rPr>
          <w:rFonts w:ascii="Times New Roman" w:hAnsi="Times New Roman"/>
          <w:color w:val="1E293B"/>
          <w:sz w:val="17"/>
        </w:rPr>
        <w:t>The system deploys 14 distinct visual analytics techniques categorized into 4 core paradigms: in-situ glyph encodings, micro-topological forensic query lenses, macro-geometric phase spaces, and translational clinical risk profiles.</w:t>
      </w:r>
    </w:p>
    <w:p>
      <w:pPr>
        <w:spacing w:before="100" w:after="40"/>
        <w:jc w:val="center"/>
      </w:pPr>
      <w:r>
        <w:drawing>
          <wp:inline xmlns:a="http://schemas.openxmlformats.org/drawingml/2006/main" xmlns:pic="http://schemas.openxmlformats.org/drawingml/2006/picture">
            <wp:extent cx="4937760" cy="2848708"/>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4937760" cy="2848708"/>
                    </a:xfrm>
                    <a:prstGeom prst="rect"/>
                  </pic:spPr>
                </pic:pic>
              </a:graphicData>
            </a:graphic>
          </wp:inline>
        </w:drawing>
      </w:r>
    </w:p>
    <w:p>
      <w:pPr>
        <w:spacing w:before="40" w:after="100"/>
        <w:jc w:val="center"/>
      </w:pPr>
      <w:r>
        <w:rPr>
          <w:rFonts w:ascii="Times New Roman" w:hAnsi="Times New Roman"/>
          <w:i/>
          <w:color w:val="475569"/>
          <w:sz w:val="17"/>
        </w:rPr>
        <w:t>Figure 3: System Architecture of the ggtrust Visual Analytics Platform (Editorial Schema).</w:t>
      </w:r>
    </w:p>
    <w:p>
      <w:r>
        <w:br w:type="page"/>
      </w:r>
    </w:p>
    <w:p>
      <w:pPr>
        <w:spacing w:before="120" w:after="80"/>
      </w:pPr>
      <w:r>
        <w:rPr>
          <w:rFonts w:ascii="Times New Roman" w:hAnsi="Times New Roman"/>
          <w:b/>
          <w:color w:val="1E3A8A"/>
          <w:sz w:val="27"/>
        </w:rPr>
        <w:t>6.0 TAXONOMY OF ADVANCED DATA VISUALIZATION TECHNIQUES</w:t>
      </w:r>
    </w:p>
    <w:p>
      <w:pPr>
        <w:spacing w:line="276" w:lineRule="auto" w:after="120"/>
      </w:pPr>
      <w:r>
        <w:t>To resolve the Silent Hallucination Crisis and satisfy the diverse visual analytics requirements of high-dimensional exploratory data analysis, we engineered and evaluated a comprehensive taxonomy of 8 core Data Visualization Techniques. Each technique deploys distinct perceptual channels, retinal encodings, and interactive operators to expose spatialization distortion without obscuring underlying biological or statistical cluster structures.</w:t>
      </w:r>
    </w:p>
    <w:p>
      <w:pPr>
        <w:spacing w:before="120" w:after="80"/>
      </w:pPr>
      <w:r>
        <w:rPr>
          <w:rFonts w:ascii="Times New Roman" w:hAnsi="Times New Roman"/>
          <w:b/>
          <w:color w:val="2563EB"/>
          <w:sz w:val="24"/>
        </w:rPr>
        <w:t>6.1 Data Visualization Technique 1: Concentric Gaussian Halo Scatterplot Encodings</w:t>
      </w:r>
    </w:p>
    <w:p>
      <w:pPr>
        <w:spacing w:line="276" w:lineRule="auto"/>
      </w:pPr>
      <w:r>
        <w:t>Technique 1 directly resolves Research Gap 2 (The Visual Saliency Paradox) through a multi-scale in-situ glyph encoding. Standard scatterplots fail because coloring untrustworthy points in bright hues commands user attention, inducing unwarranted focus. Our technique decouples spatial awareness from confidence: translucent, concentric Gaussian halo rings encircle distorted observations, where the outer halo radius is directly proportional to projection distortion (1 - S_i). Simultaneously, core point opacity decays with unreliability, visually de-emphasizing the corrupted observation while the halo commands peripheral awareness.</w:t>
      </w:r>
    </w:p>
    <w:p>
      <w:pPr>
        <w:spacing w:before="100" w:after="40"/>
        <w:jc w:val="center"/>
      </w:pPr>
      <w:r>
        <w:drawing>
          <wp:inline xmlns:a="http://schemas.openxmlformats.org/drawingml/2006/main" xmlns:pic="http://schemas.openxmlformats.org/drawingml/2006/picture">
            <wp:extent cx="5760720" cy="3968496"/>
            <wp:docPr id="4" name="Picture 4"/>
            <wp:cNvGraphicFramePr>
              <a:graphicFrameLocks noChangeAspect="1"/>
            </wp:cNvGraphicFramePr>
            <a:graphic>
              <a:graphicData uri="http://schemas.openxmlformats.org/drawingml/2006/picture">
                <pic:pic>
                  <pic:nvPicPr>
                    <pic:cNvPr id="0" name="scrna_technique1_halo_scatterplot.png"/>
                    <pic:cNvPicPr/>
                  </pic:nvPicPr>
                  <pic:blipFill>
                    <a:blip r:embed="rId13"/>
                    <a:stretch>
                      <a:fillRect/>
                    </a:stretch>
                  </pic:blipFill>
                  <pic:spPr>
                    <a:xfrm>
                      <a:off x="0" y="0"/>
                      <a:ext cx="5760720" cy="3968496"/>
                    </a:xfrm>
                    <a:prstGeom prst="rect"/>
                  </pic:spPr>
                </pic:pic>
              </a:graphicData>
            </a:graphic>
          </wp:inline>
        </w:drawing>
      </w:r>
    </w:p>
    <w:p>
      <w:pPr>
        <w:spacing w:before="40" w:after="100"/>
        <w:jc w:val="center"/>
      </w:pPr>
      <w:r>
        <w:rPr>
          <w:rFonts w:ascii="Times New Roman" w:hAnsi="Times New Roman"/>
          <w:i/>
          <w:color w:val="475569"/>
          <w:sz w:val="17"/>
        </w:rPr>
        <w:t>Figure 4: Technique 1 — Concentric Gaussian Halo Scatterplot Encodings revealing localized t-SNE topological distortion.</w:t>
      </w:r>
    </w:p>
    <w:p>
      <w:r>
        <w:br w:type="page"/>
      </w:r>
    </w:p>
    <w:p>
      <w:pPr>
        <w:spacing w:before="120" w:after="80"/>
      </w:pPr>
      <w:r>
        <w:rPr>
          <w:rFonts w:ascii="Times New Roman" w:hAnsi="Times New Roman"/>
          <w:b/>
          <w:color w:val="2563EB"/>
          <w:sz w:val="26"/>
        </w:rPr>
        <w:t>6.2 Data Visualization Technique 2: Interactive Micro-Topological Inspector Lens</w:t>
      </w:r>
    </w:p>
    <w:p>
      <w:pPr>
        <w:spacing w:line="276" w:lineRule="auto"/>
      </w:pPr>
      <w:r>
        <w:t>Technique 2 addresses Research Gap 4 (Lack of Interactive Forensic Inspection) by implementing a dynamic query lens over micro-neighborhoods. When an analyst selects an individual cell, the visualization renders green elastic tethers connecting the observation to its true high-dimensional k-nearest neighbors in latent space. Crucially, false intruders residing in the observation's 2D spatial vicinity are encircled with glowing red warning rings. A linked live Diagnostic Dossier card displays exact per-cell Trustworthiness T(k,i), Continuity C(k,i), and retained neighbor retention percentages, enabling instantaneous forensic audits.</w:t>
      </w:r>
    </w:p>
    <w:p>
      <w:pPr>
        <w:spacing w:before="100" w:after="40"/>
        <w:jc w:val="center"/>
      </w:pPr>
      <w:r>
        <w:drawing>
          <wp:inline xmlns:a="http://schemas.openxmlformats.org/drawingml/2006/main" xmlns:pic="http://schemas.openxmlformats.org/drawingml/2006/picture">
            <wp:extent cx="5760720" cy="4160520"/>
            <wp:docPr id="5" name="Picture 5"/>
            <wp:cNvGraphicFramePr>
              <a:graphicFrameLocks noChangeAspect="1"/>
            </wp:cNvGraphicFramePr>
            <a:graphic>
              <a:graphicData uri="http://schemas.openxmlformats.org/drawingml/2006/picture">
                <pic:pic>
                  <pic:nvPicPr>
                    <pic:cNvPr id="0" name="scrna_technique2_interactive_tethers.png"/>
                    <pic:cNvPicPr/>
                  </pic:nvPicPr>
                  <pic:blipFill>
                    <a:blip r:embed="rId14"/>
                    <a:stretch>
                      <a:fillRect/>
                    </a:stretch>
                  </pic:blipFill>
                  <pic:spPr>
                    <a:xfrm>
                      <a:off x="0" y="0"/>
                      <a:ext cx="5760720" cy="4160520"/>
                    </a:xfrm>
                    <a:prstGeom prst="rect"/>
                  </pic:spPr>
                </pic:pic>
              </a:graphicData>
            </a:graphic>
          </wp:inline>
        </w:drawing>
      </w:r>
    </w:p>
    <w:p>
      <w:pPr>
        <w:spacing w:before="40" w:after="100"/>
        <w:jc w:val="center"/>
      </w:pPr>
      <w:r>
        <w:rPr>
          <w:rFonts w:ascii="Times New Roman" w:hAnsi="Times New Roman"/>
          <w:i/>
          <w:color w:val="475569"/>
          <w:sz w:val="17"/>
        </w:rPr>
        <w:t>Figure 5: Technique 2 — Interactive Micro-Topological Inspector Lens with elastic true-neighbor tethers and red impostor rings.</w:t>
      </w:r>
    </w:p>
    <w:p>
      <w:r>
        <w:br w:type="page"/>
      </w:r>
    </w:p>
    <w:p>
      <w:pPr>
        <w:spacing w:before="120" w:after="80"/>
      </w:pPr>
      <w:r>
        <w:rPr>
          <w:rFonts w:ascii="Times New Roman" w:hAnsi="Times New Roman"/>
          <w:b/>
          <w:color w:val="2563EB"/>
          <w:sz w:val="26"/>
        </w:rPr>
        <w:t>6.3 Data Visualization Technique 3: Distortion Typology Diagnostic Phase Plane</w:t>
      </w:r>
    </w:p>
    <w:p>
      <w:pPr>
        <w:spacing w:line="276" w:lineRule="auto"/>
      </w:pPr>
      <w:r>
        <w:t>Technique 3 formalizes projection diagnostic error into a 2D mathematical phase space mapping Trustworthiness T(k) on the abscissa against Continuity C(k) on the ordinate. The space is partitioned into 4 distinct diagnostic quadrants by adaptive percentile cutoffs: Faithful Anchors (High T, High C), False Impostors (Low T, High C), Torn Exiles (High T, Low C), and Critical Artifacts (Low T, Low C). A linked horizontal stacked bar chart aggregates the breakdown of distortion typologies across biological lineages, immediately revealing that CD8+ cytotoxic T-cells predominantly suffer false intrusion while CD4+ memory cells suffer severe cluster tearing.</w:t>
      </w:r>
    </w:p>
    <w:p>
      <w:pPr>
        <w:spacing w:before="100" w:after="40"/>
        <w:jc w:val="center"/>
      </w:pPr>
      <w:r>
        <w:drawing>
          <wp:inline xmlns:a="http://schemas.openxmlformats.org/drawingml/2006/main" xmlns:pic="http://schemas.openxmlformats.org/drawingml/2006/picture">
            <wp:extent cx="5760720" cy="4160520"/>
            <wp:docPr id="6" name="Picture 6"/>
            <wp:cNvGraphicFramePr>
              <a:graphicFrameLocks noChangeAspect="1"/>
            </wp:cNvGraphicFramePr>
            <a:graphic>
              <a:graphicData uri="http://schemas.openxmlformats.org/drawingml/2006/picture">
                <pic:pic>
                  <pic:nvPicPr>
                    <pic:cNvPr id="0" name="scrna_technique3_distortion_typology.png"/>
                    <pic:cNvPicPr/>
                  </pic:nvPicPr>
                  <pic:blipFill>
                    <a:blip r:embed="rId15"/>
                    <a:stretch>
                      <a:fillRect/>
                    </a:stretch>
                  </pic:blipFill>
                  <pic:spPr>
                    <a:xfrm>
                      <a:off x="0" y="0"/>
                      <a:ext cx="5760720" cy="4160520"/>
                    </a:xfrm>
                    <a:prstGeom prst="rect"/>
                  </pic:spPr>
                </pic:pic>
              </a:graphicData>
            </a:graphic>
          </wp:inline>
        </w:drawing>
      </w:r>
    </w:p>
    <w:p>
      <w:pPr>
        <w:spacing w:before="40" w:after="100"/>
        <w:jc w:val="center"/>
      </w:pPr>
      <w:r>
        <w:rPr>
          <w:rFonts w:ascii="Times New Roman" w:hAnsi="Times New Roman"/>
          <w:i/>
          <w:color w:val="475569"/>
          <w:sz w:val="17"/>
        </w:rPr>
        <w:t>Figure 6: Technique 3 — 4-Quadrant Distortion Typology Phase Plane and Lineage Error Breakdown Stacked Bar Chart.</w:t>
      </w:r>
    </w:p>
    <w:p>
      <w:r>
        <w:br w:type="page"/>
      </w:r>
    </w:p>
    <w:p>
      <w:pPr>
        <w:spacing w:before="120" w:after="80"/>
      </w:pPr>
      <w:r>
        <w:rPr>
          <w:rFonts w:ascii="Times New Roman" w:hAnsi="Times New Roman"/>
          <w:b/>
          <w:color w:val="2563EB"/>
          <w:sz w:val="26"/>
        </w:rPr>
        <w:t>6.4 Data Visualization Technique 4: Multi-Scale Scale-Space Stability Horizons</w:t>
      </w:r>
    </w:p>
    <w:p>
      <w:pPr>
        <w:spacing w:line="276" w:lineRule="auto"/>
      </w:pPr>
      <w:r>
        <w:t>Technique 4 resolves Research Gap 3 (Scale-Space Myopia) by evaluating topological stability across a continuum of 15 neighborhood resolutions spanning k in [3, 45]. Rather than relying on a single arbitrary k cutoff, the visualization renders dual multi-series stability trajectories tracking mean Trustworthiness (solid lines) and Continuity (dashed lines) for each cell type. This multi-scale view allows researchers to identify the exact phase-transition scale at which local biological cluster integrity breaks down into macroscopic manifold distortions, providing quantitative guidance for hyperparameter tuning in t-SNE and UMAP.</w:t>
      </w:r>
    </w:p>
    <w:p>
      <w:pPr>
        <w:spacing w:before="100" w:after="40"/>
        <w:jc w:val="center"/>
      </w:pPr>
      <w:r>
        <w:drawing>
          <wp:inline xmlns:a="http://schemas.openxmlformats.org/drawingml/2006/main" xmlns:pic="http://schemas.openxmlformats.org/drawingml/2006/picture">
            <wp:extent cx="5760720" cy="3712464"/>
            <wp:docPr id="7" name="Picture 7"/>
            <wp:cNvGraphicFramePr>
              <a:graphicFrameLocks noChangeAspect="1"/>
            </wp:cNvGraphicFramePr>
            <a:graphic>
              <a:graphicData uri="http://schemas.openxmlformats.org/drawingml/2006/picture">
                <pic:pic>
                  <pic:nvPicPr>
                    <pic:cNvPr id="0" name="scrna_technique4_scale_spectrum.png"/>
                    <pic:cNvPicPr/>
                  </pic:nvPicPr>
                  <pic:blipFill>
                    <a:blip r:embed="rId16"/>
                    <a:stretch>
                      <a:fillRect/>
                    </a:stretch>
                  </pic:blipFill>
                  <pic:spPr>
                    <a:xfrm>
                      <a:off x="0" y="0"/>
                      <a:ext cx="5760720" cy="3712464"/>
                    </a:xfrm>
                    <a:prstGeom prst="rect"/>
                  </pic:spPr>
                </pic:pic>
              </a:graphicData>
            </a:graphic>
          </wp:inline>
        </w:drawing>
      </w:r>
    </w:p>
    <w:p>
      <w:pPr>
        <w:spacing w:before="40" w:after="100"/>
        <w:jc w:val="center"/>
      </w:pPr>
      <w:r>
        <w:rPr>
          <w:rFonts w:ascii="Times New Roman" w:hAnsi="Times New Roman"/>
          <w:i/>
          <w:color w:val="475569"/>
          <w:sz w:val="17"/>
        </w:rPr>
        <w:t>Figure 7: Technique 4 — Multi-Scale Scale-Space Stability Spectrum tracking metric curves across k in [3, 45].</w:t>
      </w:r>
    </w:p>
    <w:p>
      <w:r>
        <w:br w:type="page"/>
      </w:r>
    </w:p>
    <w:p>
      <w:pPr>
        <w:spacing w:before="120" w:after="80"/>
      </w:pPr>
      <w:r>
        <w:rPr>
          <w:rFonts w:ascii="Times New Roman" w:hAnsi="Times New Roman"/>
          <w:b/>
          <w:color w:val="2563EB"/>
          <w:sz w:val="26"/>
        </w:rPr>
        <w:t>6.5 Data Visualization Technique 5A: High-Dimensional Parallel Coordinates Plot (PCP)</w:t>
      </w:r>
    </w:p>
    <w:p>
      <w:pPr>
        <w:spacing w:line="276" w:lineRule="auto"/>
      </w:pPr>
      <w:r>
        <w:t>Technique 5A grounds 2D visual artifacts back into the true high-dimensional feature geometry through an interactive Parallel Coordinates Plot (PCP). Each observation is rendered as a continuous polyline traversing canonical marker gene axes (CD3D, CD4, CD8A, CD8B, IL7R, GZMA, CD14, FCGR3A), with each line colored by its 2D manifold fidelity score S_i. By brushing along any individual gene axis, analysts isolate distorted cell profiles and immediately verify whether boundary cells in 2D represent genuine transitional intermediate biological phenotypes or algorithmic compression artifacts.</w:t>
      </w:r>
    </w:p>
    <w:p>
      <w:pPr>
        <w:spacing w:before="100" w:after="40"/>
        <w:jc w:val="center"/>
      </w:pPr>
      <w:r>
        <w:drawing>
          <wp:inline xmlns:a="http://schemas.openxmlformats.org/drawingml/2006/main" xmlns:pic="http://schemas.openxmlformats.org/drawingml/2006/picture">
            <wp:extent cx="5760720" cy="3517071"/>
            <wp:docPr id="8" name="Picture 8"/>
            <wp:cNvGraphicFramePr>
              <a:graphicFrameLocks noChangeAspect="1"/>
            </wp:cNvGraphicFramePr>
            <a:graphic>
              <a:graphicData uri="http://schemas.openxmlformats.org/drawingml/2006/picture">
                <pic:pic>
                  <pic:nvPicPr>
                    <pic:cNvPr id="0" name="scrna_technique5_parallel_coordinates.png"/>
                    <pic:cNvPicPr/>
                  </pic:nvPicPr>
                  <pic:blipFill>
                    <a:blip r:embed="rId17"/>
                    <a:stretch>
                      <a:fillRect/>
                    </a:stretch>
                  </pic:blipFill>
                  <pic:spPr>
                    <a:xfrm>
                      <a:off x="0" y="0"/>
                      <a:ext cx="5760720" cy="3517071"/>
                    </a:xfrm>
                    <a:prstGeom prst="rect"/>
                  </pic:spPr>
                </pic:pic>
              </a:graphicData>
            </a:graphic>
          </wp:inline>
        </w:drawing>
      </w:r>
    </w:p>
    <w:p>
      <w:pPr>
        <w:spacing w:before="40" w:after="100"/>
        <w:jc w:val="center"/>
      </w:pPr>
      <w:r>
        <w:rPr>
          <w:rFonts w:ascii="Times New Roman" w:hAnsi="Times New Roman"/>
          <w:i/>
          <w:color w:val="475569"/>
          <w:sz w:val="17"/>
        </w:rPr>
        <w:t>Figure 8A: Technique 5A — Parallel Coordinates Plot (PCP) across key marker genes, colored by continuous manifold fidelity.</w:t>
      </w:r>
    </w:p>
    <w:p>
      <w:r>
        <w:br w:type="page"/>
      </w:r>
    </w:p>
    <w:p>
      <w:pPr>
        <w:spacing w:before="120" w:after="80"/>
      </w:pPr>
      <w:r>
        <w:rPr>
          <w:rFonts w:ascii="Times New Roman" w:hAnsi="Times New Roman"/>
          <w:b/>
          <w:color w:val="2563EB"/>
          <w:sz w:val="26"/>
        </w:rPr>
        <w:t>6.6 Data Visualization Technique 5B: Co-Ranking Deviation Heatmap and Shepard Distance Plot</w:t>
      </w:r>
    </w:p>
    <w:p>
      <w:pPr>
        <w:spacing w:line="276" w:lineRule="auto"/>
      </w:pPr>
      <w:r>
        <w:t>Technique 5B combines two rigorous macro-geometric diagnostics. The Co-Ranking Matrix Heatmap computes pairwise rank deviations between the original high-dimensional feature space and the low-dimensional embedding, explicitly mapping neighborhood intrusions in the upper triangle and neighborhood extrusions in the lower triangle. Adjacent to it, the Shepard Distance Distortion Diagram correlates high-dimensional Euclidean pairwise distances against 2D projected distances, reporting an empirical Spearman rank correlation coefficient (r = 0.812) that quantifies global isometric fidelity across the complete dataset.</w:t>
      </w:r>
    </w:p>
    <w:p>
      <w:pPr>
        <w:spacing w:before="100" w:after="40"/>
        <w:jc w:val="center"/>
      </w:pPr>
      <w:r>
        <w:drawing>
          <wp:inline xmlns:a="http://schemas.openxmlformats.org/drawingml/2006/main" xmlns:pic="http://schemas.openxmlformats.org/drawingml/2006/picture">
            <wp:extent cx="5760720" cy="2437228"/>
            <wp:docPr id="9" name="Picture 9"/>
            <wp:cNvGraphicFramePr>
              <a:graphicFrameLocks noChangeAspect="1"/>
            </wp:cNvGraphicFramePr>
            <a:graphic>
              <a:graphicData uri="http://schemas.openxmlformats.org/drawingml/2006/picture">
                <pic:pic>
                  <pic:nvPicPr>
                    <pic:cNvPr id="0" name="scrna_technique5_coranking_shepard.png"/>
                    <pic:cNvPicPr/>
                  </pic:nvPicPr>
                  <pic:blipFill>
                    <a:blip r:embed="rId18"/>
                    <a:stretch>
                      <a:fillRect/>
                    </a:stretch>
                  </pic:blipFill>
                  <pic:spPr>
                    <a:xfrm>
                      <a:off x="0" y="0"/>
                      <a:ext cx="5760720" cy="2437228"/>
                    </a:xfrm>
                    <a:prstGeom prst="rect"/>
                  </pic:spPr>
                </pic:pic>
              </a:graphicData>
            </a:graphic>
          </wp:inline>
        </w:drawing>
      </w:r>
    </w:p>
    <w:p>
      <w:pPr>
        <w:spacing w:before="40" w:after="100"/>
        <w:jc w:val="center"/>
      </w:pPr>
      <w:r>
        <w:rPr>
          <w:rFonts w:ascii="Times New Roman" w:hAnsi="Times New Roman"/>
          <w:i/>
          <w:color w:val="475569"/>
          <w:sz w:val="17"/>
        </w:rPr>
        <w:t>Figure 8B: Technique 5B — Co-Ranking Matrix Deviation Heatmap and Shepard Pairwise Distance Correlation Diagram.</w:t>
      </w:r>
    </w:p>
    <w:p>
      <w:r>
        <w:br w:type="page"/>
      </w:r>
    </w:p>
    <w:p>
      <w:pPr>
        <w:spacing w:before="120" w:after="80"/>
      </w:pPr>
      <w:r>
        <w:rPr>
          <w:rFonts w:ascii="Times New Roman" w:hAnsi="Times New Roman"/>
          <w:b/>
          <w:color w:val="2563EB"/>
          <w:sz w:val="26"/>
        </w:rPr>
        <w:t>6.7 Data Visualization Technique 6: Dual-Canvas Comparative Projection Lens</w:t>
      </w:r>
    </w:p>
    <w:p>
      <w:pPr>
        <w:spacing w:line="276" w:lineRule="auto"/>
      </w:pPr>
      <w:r>
        <w:t>Technique 6 utilizes a synchronized dual-canvas comparative visualization to demonstrate the perceptual divergence between standard unannotated practice and the ggtrust fidelity-aware paradigm. The left canvas presents the traditional solid scatterplot where users are blinded to geometric artifacts, while the right canvas activates Gaussian fidelity halos and intrusion warning rings. This side-by-side contrast empirically proves how naive visual interpretation triggers false discoveries. The panel is paired with an automated script generator emitting production-grade Python (Scanpy/Plotly) and R (ggplot2/ggtrust) reproducible code.</w:t>
      </w:r>
    </w:p>
    <w:p>
      <w:pPr>
        <w:spacing w:before="100" w:after="40"/>
        <w:jc w:val="center"/>
      </w:pPr>
      <w:r>
        <w:drawing>
          <wp:inline xmlns:a="http://schemas.openxmlformats.org/drawingml/2006/main" xmlns:pic="http://schemas.openxmlformats.org/drawingml/2006/picture">
            <wp:extent cx="5760720" cy="2468880"/>
            <wp:docPr id="10" name="Picture 10"/>
            <wp:cNvGraphicFramePr>
              <a:graphicFrameLocks noChangeAspect="1"/>
            </wp:cNvGraphicFramePr>
            <a:graphic>
              <a:graphicData uri="http://schemas.openxmlformats.org/drawingml/2006/picture">
                <pic:pic>
                  <pic:nvPicPr>
                    <pic:cNvPr id="0" name="scrna_technique6_side_by_side.png"/>
                    <pic:cNvPicPr/>
                  </pic:nvPicPr>
                  <pic:blipFill>
                    <a:blip r:embed="rId19"/>
                    <a:stretch>
                      <a:fillRect/>
                    </a:stretch>
                  </pic:blipFill>
                  <pic:spPr>
                    <a:xfrm>
                      <a:off x="0" y="0"/>
                      <a:ext cx="5760720" cy="2468880"/>
                    </a:xfrm>
                    <a:prstGeom prst="rect"/>
                  </pic:spPr>
                </pic:pic>
              </a:graphicData>
            </a:graphic>
          </wp:inline>
        </w:drawing>
      </w:r>
    </w:p>
    <w:p>
      <w:pPr>
        <w:spacing w:before="40" w:after="100"/>
        <w:jc w:val="center"/>
      </w:pPr>
      <w:r>
        <w:rPr>
          <w:rFonts w:ascii="Times New Roman" w:hAnsi="Times New Roman"/>
          <w:i/>
          <w:color w:val="475569"/>
          <w:sz w:val="17"/>
        </w:rPr>
        <w:t>Figure 9: Technique 6 — Dual-Canvas Comparative Projection: Baseline Unannotated DR vs ggtrust Fidelity-Aware Projection.</w:t>
      </w:r>
    </w:p>
    <w:p>
      <w:r>
        <w:br w:type="page"/>
      </w:r>
    </w:p>
    <w:p>
      <w:pPr>
        <w:spacing w:before="120" w:after="80"/>
      </w:pPr>
      <w:r>
        <w:rPr>
          <w:rFonts w:ascii="Times New Roman" w:hAnsi="Times New Roman"/>
          <w:b/>
          <w:color w:val="2563EB"/>
          <w:sz w:val="26"/>
        </w:rPr>
        <w:t>6.8 Data Visualization Technique 7: Interactive Diagnostic Table with Metric-Conditioned Micro-Bars</w:t>
      </w:r>
    </w:p>
    <w:p>
      <w:pPr>
        <w:spacing w:line="276" w:lineRule="auto"/>
      </w:pPr>
      <w:r>
        <w:t>Technique 7 combines tabular data representation with high-density in-cell micro-visualizations. Rather than presenting raw numerical logs, the table embeds dynamic proportional progress bars for Trustworthiness, Continuity, and Composite Fidelity S_i, paired with color-coded diagnostic badges (Faithful Anchor in green, False Impostor in red, Torn Exile in amber, Critical Artifact in purple). Researchers can interactively cross-filter by cell lineage, sort by lowest fidelity score to isolate extreme distortions, and execute one-click CSV data exports to automate downstream outlier rejection in single-cell quality control pipelines.</w:t>
      </w:r>
    </w:p>
    <w:p>
      <w:pPr>
        <w:spacing w:before="100" w:after="40"/>
        <w:jc w:val="center"/>
      </w:pPr>
      <w:r>
        <w:drawing>
          <wp:inline xmlns:a="http://schemas.openxmlformats.org/drawingml/2006/main" xmlns:pic="http://schemas.openxmlformats.org/drawingml/2006/picture">
            <wp:extent cx="5760720" cy="3445664"/>
            <wp:docPr id="11" name="Picture 11"/>
            <wp:cNvGraphicFramePr>
              <a:graphicFrameLocks noChangeAspect="1"/>
            </wp:cNvGraphicFramePr>
            <a:graphic>
              <a:graphicData uri="http://schemas.openxmlformats.org/drawingml/2006/picture">
                <pic:pic>
                  <pic:nvPicPr>
                    <pic:cNvPr id="0" name="scrna_technique7_diagnostic_table.png"/>
                    <pic:cNvPicPr/>
                  </pic:nvPicPr>
                  <pic:blipFill>
                    <a:blip r:embed="rId20"/>
                    <a:stretch>
                      <a:fillRect/>
                    </a:stretch>
                  </pic:blipFill>
                  <pic:spPr>
                    <a:xfrm>
                      <a:off x="0" y="0"/>
                      <a:ext cx="5760720" cy="3445664"/>
                    </a:xfrm>
                    <a:prstGeom prst="rect"/>
                  </pic:spPr>
                </pic:pic>
              </a:graphicData>
            </a:graphic>
          </wp:inline>
        </w:drawing>
      </w:r>
    </w:p>
    <w:p>
      <w:pPr>
        <w:spacing w:before="40" w:after="100"/>
        <w:jc w:val="center"/>
      </w:pPr>
      <w:r>
        <w:rPr>
          <w:rFonts w:ascii="Times New Roman" w:hAnsi="Times New Roman"/>
          <w:i/>
          <w:color w:val="475569"/>
          <w:sz w:val="17"/>
        </w:rPr>
        <w:t>Figure 10: Technique 7 — Interactive Diagnostic Table with In-Cell Metric Micro-Bars, Typology Badges, and Outlier Filter.</w:t>
      </w:r>
    </w:p>
    <w:p>
      <w:r>
        <w:br w:type="page"/>
      </w:r>
    </w:p>
    <w:p>
      <w:pPr>
        <w:spacing w:before="120" w:after="80"/>
      </w:pPr>
      <w:r>
        <w:rPr>
          <w:rFonts w:ascii="Times New Roman" w:hAnsi="Times New Roman"/>
          <w:b/>
          <w:color w:val="2563EB"/>
          <w:sz w:val="26"/>
        </w:rPr>
        <w:t>6.9 Data Visualization Technique 8: Translational Decision-Support Matrix &amp; Clinical Risk Radar</w:t>
      </w:r>
    </w:p>
    <w:p>
      <w:pPr>
        <w:spacing w:line="276" w:lineRule="auto"/>
      </w:pPr>
      <w:r>
        <w:t>Technique 8 translates geometric fidelity diagnostics into actionable operational protocols for high-stakes decision makers. It features a 6-axis Radar / Spider Profile benchmarking Standard Unannotated DR against the ggtrust Framework across Cluster Boundary Reliability, False Sub-clone Suppression, False Intrusion Saliency, Wet-Lab Cost Efficiency, Multi-Scale Sensitivity, and Clinician Trust Calibration. Linked protocol cards provide explicit clinical decision rules for oncology and immunology: flagging observations with S_i &lt; 0.70 to prevent costly false-positive wet-lab assay validations ($45,000+ per publication).</w:t>
      </w:r>
    </w:p>
    <w:p>
      <w:pPr>
        <w:spacing w:before="100" w:after="40"/>
        <w:jc w:val="center"/>
      </w:pPr>
      <w:r>
        <w:drawing>
          <wp:inline xmlns:a="http://schemas.openxmlformats.org/drawingml/2006/main" xmlns:pic="http://schemas.openxmlformats.org/drawingml/2006/picture">
            <wp:extent cx="5760720" cy="3389566"/>
            <wp:docPr id="12" name="Picture 12"/>
            <wp:cNvGraphicFramePr>
              <a:graphicFrameLocks noChangeAspect="1"/>
            </wp:cNvGraphicFramePr>
            <a:graphic>
              <a:graphicData uri="http://schemas.openxmlformats.org/drawingml/2006/picture">
                <pic:pic>
                  <pic:nvPicPr>
                    <pic:cNvPr id="0" name="scrna_technique8_operational_impact.png"/>
                    <pic:cNvPicPr/>
                  </pic:nvPicPr>
                  <pic:blipFill>
                    <a:blip r:embed="rId21"/>
                    <a:stretch>
                      <a:fillRect/>
                    </a:stretch>
                  </pic:blipFill>
                  <pic:spPr>
                    <a:xfrm>
                      <a:off x="0" y="0"/>
                      <a:ext cx="5760720" cy="3389566"/>
                    </a:xfrm>
                    <a:prstGeom prst="rect"/>
                  </pic:spPr>
                </pic:pic>
              </a:graphicData>
            </a:graphic>
          </wp:inline>
        </w:drawing>
      </w:r>
    </w:p>
    <w:p>
      <w:pPr>
        <w:spacing w:before="40" w:after="100"/>
        <w:jc w:val="center"/>
      </w:pPr>
      <w:r>
        <w:rPr>
          <w:rFonts w:ascii="Times New Roman" w:hAnsi="Times New Roman"/>
          <w:i/>
          <w:color w:val="475569"/>
          <w:sz w:val="17"/>
        </w:rPr>
        <w:t>Figure 11: Technique 8 — Operational Impact Decision-Support Matrix and Clinical Risk Mitigation Radar Profile.</w:t>
      </w:r>
    </w:p>
    <w:p>
      <w:r>
        <w:br w:type="page"/>
      </w:r>
    </w:p>
    <w:p>
      <w:pPr>
        <w:spacing w:before="60" w:after="40"/>
      </w:pPr>
      <w:r>
        <w:rPr>
          <w:rFonts w:ascii="Times New Roman" w:hAnsi="Times New Roman"/>
          <w:b/>
          <w:color w:val="1E3A8A"/>
          <w:sz w:val="26"/>
        </w:rPr>
        <w:t>7.0 CASE STUDY: SINGLE-CELL IMMUNE GENOMICS (PBMC)</w:t>
      </w:r>
    </w:p>
    <w:p>
      <w:pPr>
        <w:keepNext/>
        <w:spacing w:before="40" w:after="20"/>
      </w:pPr>
      <w:r>
        <w:rPr>
          <w:rFonts w:ascii="Times New Roman" w:hAnsi="Times New Roman"/>
          <w:b/>
          <w:color w:val="2563EB"/>
          <w:sz w:val="20"/>
        </w:rPr>
        <w:t>7.1 Dataset Architecture &amp; Lineage Profiles</w:t>
      </w:r>
    </w:p>
    <w:p>
      <w:pPr>
        <w:spacing w:line="259" w:lineRule="auto" w:after="40"/>
      </w:pPr>
      <w:r>
        <w:rPr>
          <w:rFonts w:ascii="Times New Roman" w:hAnsi="Times New Roman"/>
          <w:color w:val="1E293B"/>
          <w:sz w:val="17"/>
        </w:rPr>
        <w:t>We evaluated ggtrust on a simulated human Peripheral Blood Mononuclear Cell (PBMC) dataset comprising 500 single cells profiled across 20 canonical lineage marker genes (CD3D, CD4, CD8A, CD8B, IL7R, GZMA, CD19, MS4A1, CD14, FCGR3A, etc.) across 5 immune lineages: CD4+ T-Cells (120), CD8+ Cytotoxic T-Cells (100), B-Cells (100), Monocytes (100), and Natural Killer (NK) Cells (80).</w:t>
      </w:r>
    </w:p>
    <w:p>
      <w:pPr>
        <w:keepNext/>
        <w:spacing w:before="40" w:after="20"/>
      </w:pPr>
      <w:r>
        <w:rPr>
          <w:rFonts w:ascii="Times New Roman" w:hAnsi="Times New Roman"/>
          <w:b/>
          <w:color w:val="2563EB"/>
          <w:sz w:val="20"/>
        </w:rPr>
        <w:t>7.2 Intrusion Detection (CD8+ False Neighbors)</w:t>
      </w:r>
    </w:p>
    <w:p>
      <w:pPr>
        <w:spacing w:line="259" w:lineRule="auto" w:after="40"/>
      </w:pPr>
      <w:r>
        <w:rPr>
          <w:rFonts w:ascii="Times New Roman" w:hAnsi="Times New Roman"/>
          <w:color w:val="1E293B"/>
          <w:sz w:val="17"/>
        </w:rPr>
        <w:t>To test intrusion sensitivity, 22 CD8+ Cytotoxic T-cells were artificially displaced into the 2D cluster of Monocytes. In standard t-SNE, an immunologist would erroneously conclude the presence of a novel Monocyte-T cell hybrid intermediate. ggtrust dropped Trustworthiness scores to T &lt; 0.38 and encircled all 22 cells with glowing red warning rings, completely preventing false biological misclassification.</w:t>
      </w:r>
    </w:p>
    <w:p>
      <w:pPr>
        <w:keepNext/>
        <w:spacing w:before="40" w:after="20"/>
      </w:pPr>
      <w:r>
        <w:rPr>
          <w:rFonts w:ascii="Times New Roman" w:hAnsi="Times New Roman"/>
          <w:b/>
          <w:color w:val="2563EB"/>
          <w:sz w:val="20"/>
        </w:rPr>
        <w:t>7.3 Extrusion Detection (CD4+ Torn Cluster)</w:t>
      </w:r>
    </w:p>
    <w:p>
      <w:pPr>
        <w:spacing w:line="259" w:lineRule="auto" w:after="50"/>
      </w:pPr>
      <w:r>
        <w:rPr>
          <w:rFonts w:ascii="Times New Roman" w:hAnsi="Times New Roman"/>
          <w:color w:val="1E293B"/>
          <w:sz w:val="17"/>
        </w:rPr>
        <w:t>To test extrusion sensitivity, 24 CD4+ memory T-cells were torn from the primary CD4+ cluster into an isolated satellite island. In standard t-SNE, researchers would publish this island as a distinct novel cell sub-population. ggtrust registered a catastrophic drop in Continuity (C &lt; 0.32), successfully exposing the island as an algorithmic extrusion artifact.</w:t>
      </w:r>
    </w:p>
    <w:p>
      <w:pPr>
        <w:spacing w:before="60" w:after="40"/>
      </w:pPr>
      <w:r>
        <w:rPr>
          <w:rFonts w:ascii="Times New Roman" w:hAnsi="Times New Roman"/>
          <w:b/>
          <w:color w:val="1E3A8A"/>
          <w:sz w:val="26"/>
        </w:rPr>
        <w:t>8.0 BENCHMARK EVALUATION &amp; USABILITY ASSESSMENT</w:t>
      </w:r>
    </w:p>
    <w:p>
      <w:pPr>
        <w:spacing w:line="259" w:lineRule="auto" w:after="60"/>
      </w:pPr>
      <w:r>
        <w:rPr>
          <w:rFonts w:ascii="Times New Roman" w:hAnsi="Times New Roman"/>
          <w:color w:val="1E293B"/>
          <w:sz w:val="17"/>
        </w:rPr>
        <w:t>The quantitative robustness of ggtrust was benchmarked across single-cell genomics and 4 classic machine learning reference datasets, confirming high artifact detection rates and consistent topological calibration across varying dimensionality and sample sizes.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60" w:type="dxa"/>
              <w:bottom w:w="60" w:type="dxa"/>
              <w:left w:w="90" w:type="dxa"/>
              <w:right w:w="90" w:type="dxa"/>
            </w:tcMar>
            <w:shd w:fill="1E3A8A"/>
          </w:tcPr>
          <w:p>
            <w:pPr>
              <w:jc w:val="left"/>
            </w:pPr>
            <w:r>
              <w:rPr>
                <w:rFonts w:ascii="Times New Roman" w:hAnsi="Times New Roman"/>
                <w:b/>
                <w:color w:val="FFFFFF"/>
                <w:sz w:val="18"/>
              </w:rPr>
              <w:t>Dataset</w:t>
            </w:r>
          </w:p>
        </w:tc>
        <w:tc>
          <w:tcPr>
            <w:tcW w:type="dxa" w:w="1872"/>
            <w:vAlign w:val="center"/>
            <w:tcMar>
              <w:top w:w="60" w:type="dxa"/>
              <w:bottom w:w="60" w:type="dxa"/>
              <w:left w:w="90" w:type="dxa"/>
              <w:right w:w="90" w:type="dxa"/>
            </w:tcMar>
            <w:shd w:fill="1E3A8A"/>
          </w:tcPr>
          <w:p>
            <w:pPr>
              <w:jc w:val="center"/>
            </w:pPr>
            <w:r>
              <w:rPr>
                <w:rFonts w:ascii="Times New Roman" w:hAnsi="Times New Roman"/>
                <w:b/>
                <w:color w:val="FFFFFF"/>
                <w:sz w:val="18"/>
              </w:rPr>
              <w:t>Features</w:t>
            </w:r>
          </w:p>
        </w:tc>
        <w:tc>
          <w:tcPr>
            <w:tcW w:type="dxa" w:w="1872"/>
            <w:vAlign w:val="center"/>
            <w:tcMar>
              <w:top w:w="60" w:type="dxa"/>
              <w:bottom w:w="60" w:type="dxa"/>
              <w:left w:w="90" w:type="dxa"/>
              <w:right w:w="90" w:type="dxa"/>
            </w:tcMar>
            <w:shd w:fill="1E3A8A"/>
          </w:tcPr>
          <w:p>
            <w:pPr>
              <w:jc w:val="center"/>
            </w:pPr>
            <w:r>
              <w:rPr>
                <w:rFonts w:ascii="Times New Roman" w:hAnsi="Times New Roman"/>
                <w:b/>
                <w:color w:val="FFFFFF"/>
                <w:sz w:val="18"/>
              </w:rPr>
              <w:t>Observations</w:t>
            </w:r>
          </w:p>
        </w:tc>
        <w:tc>
          <w:tcPr>
            <w:tcW w:type="dxa" w:w="1872"/>
            <w:vAlign w:val="center"/>
            <w:tcMar>
              <w:top w:w="60" w:type="dxa"/>
              <w:bottom w:w="60" w:type="dxa"/>
              <w:left w:w="90" w:type="dxa"/>
              <w:right w:w="90" w:type="dxa"/>
            </w:tcMar>
            <w:shd w:fill="1E3A8A"/>
          </w:tcPr>
          <w:p>
            <w:pPr>
              <w:jc w:val="center"/>
            </w:pPr>
            <w:r>
              <w:rPr>
                <w:rFonts w:ascii="Times New Roman" w:hAnsi="Times New Roman"/>
                <w:b/>
                <w:color w:val="FFFFFF"/>
                <w:sz w:val="18"/>
              </w:rPr>
              <w:t>Mean Fidelity (S)</w:t>
            </w:r>
          </w:p>
        </w:tc>
        <w:tc>
          <w:tcPr>
            <w:tcW w:type="dxa" w:w="1872"/>
            <w:vAlign w:val="center"/>
            <w:tcMar>
              <w:top w:w="60" w:type="dxa"/>
              <w:bottom w:w="60" w:type="dxa"/>
              <w:left w:w="90" w:type="dxa"/>
              <w:right w:w="90" w:type="dxa"/>
            </w:tcMar>
            <w:shd w:fill="1E3A8A"/>
          </w:tcPr>
          <w:p>
            <w:pPr>
              <w:jc w:val="center"/>
            </w:pPr>
            <w:r>
              <w:rPr>
                <w:rFonts w:ascii="Times New Roman" w:hAnsi="Times New Roman"/>
                <w:b/>
                <w:color w:val="FFFFFF"/>
                <w:sz w:val="18"/>
              </w:rPr>
              <w:t>Artifacts Caught</w:t>
            </w:r>
          </w:p>
        </w:tc>
      </w:tr>
      <w:tr>
        <w:tc>
          <w:tcPr>
            <w:tcW w:type="dxa" w:w="1872"/>
            <w:vAlign w:val="center"/>
            <w:tcMar>
              <w:top w:w="60" w:type="dxa"/>
              <w:bottom w:w="60" w:type="dxa"/>
              <w:left w:w="90" w:type="dxa"/>
              <w:right w:w="90" w:type="dxa"/>
            </w:tcMar>
            <w:shd w:fill="F8FAFC"/>
          </w:tcPr>
          <w:p>
            <w:pPr>
              <w:jc w:val="left"/>
            </w:pPr>
            <w:r>
              <w:rPr>
                <w:rFonts w:ascii="Times New Roman" w:hAnsi="Times New Roman"/>
                <w:color w:val="1E293B"/>
                <w:sz w:val="18"/>
              </w:rPr>
              <w:t>Single-Cell PBMC</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20 Genes</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500 Cells</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0.908</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46 / 46 (100%)</w:t>
            </w:r>
          </w:p>
        </w:tc>
      </w:tr>
      <w:tr>
        <w:tc>
          <w:tcPr>
            <w:tcW w:type="dxa" w:w="1872"/>
            <w:vAlign w:val="center"/>
            <w:tcMar>
              <w:top w:w="60" w:type="dxa"/>
              <w:bottom w:w="60" w:type="dxa"/>
              <w:left w:w="90" w:type="dxa"/>
              <w:right w:w="90" w:type="dxa"/>
            </w:tcMar>
            <w:shd w:fill="FFFFFF"/>
          </w:tcPr>
          <w:p>
            <w:pPr>
              <w:jc w:val="left"/>
            </w:pPr>
            <w:r>
              <w:rPr>
                <w:rFonts w:ascii="Times New Roman" w:hAnsi="Times New Roman"/>
                <w:color w:val="1E293B"/>
                <w:sz w:val="18"/>
              </w:rPr>
              <w:t>Iris Benchmark</w:t>
            </w:r>
          </w:p>
        </w:tc>
        <w:tc>
          <w:tcPr>
            <w:tcW w:type="dxa" w:w="1872"/>
            <w:vAlign w:val="center"/>
            <w:tcMar>
              <w:top w:w="60" w:type="dxa"/>
              <w:bottom w:w="60" w:type="dxa"/>
              <w:left w:w="90" w:type="dxa"/>
              <w:right w:w="90" w:type="dxa"/>
            </w:tcMar>
            <w:shd w:fill="FFFFFF"/>
          </w:tcPr>
          <w:p>
            <w:pPr>
              <w:jc w:val="center"/>
            </w:pPr>
            <w:r>
              <w:rPr>
                <w:rFonts w:ascii="Times New Roman" w:hAnsi="Times New Roman"/>
                <w:color w:val="1E293B"/>
                <w:sz w:val="18"/>
              </w:rPr>
              <w:t>4 Morpho</w:t>
            </w:r>
          </w:p>
        </w:tc>
        <w:tc>
          <w:tcPr>
            <w:tcW w:type="dxa" w:w="1872"/>
            <w:vAlign w:val="center"/>
            <w:tcMar>
              <w:top w:w="60" w:type="dxa"/>
              <w:bottom w:w="60" w:type="dxa"/>
              <w:left w:w="90" w:type="dxa"/>
              <w:right w:w="90" w:type="dxa"/>
            </w:tcMar>
            <w:shd w:fill="FFFFFF"/>
          </w:tcPr>
          <w:p>
            <w:pPr>
              <w:jc w:val="center"/>
            </w:pPr>
            <w:r>
              <w:rPr>
                <w:rFonts w:ascii="Times New Roman" w:hAnsi="Times New Roman"/>
                <w:color w:val="1E293B"/>
                <w:sz w:val="18"/>
              </w:rPr>
              <w:t>150 Plants</w:t>
            </w:r>
          </w:p>
        </w:tc>
        <w:tc>
          <w:tcPr>
            <w:tcW w:type="dxa" w:w="1872"/>
            <w:vAlign w:val="center"/>
            <w:tcMar>
              <w:top w:w="60" w:type="dxa"/>
              <w:bottom w:w="60" w:type="dxa"/>
              <w:left w:w="90" w:type="dxa"/>
              <w:right w:w="90" w:type="dxa"/>
            </w:tcMar>
            <w:shd w:fill="FFFFFF"/>
          </w:tcPr>
          <w:p>
            <w:pPr>
              <w:jc w:val="center"/>
            </w:pPr>
            <w:r>
              <w:rPr>
                <w:rFonts w:ascii="Times New Roman" w:hAnsi="Times New Roman"/>
                <w:color w:val="1E293B"/>
                <w:sz w:val="18"/>
              </w:rPr>
              <w:t>0.942</w:t>
            </w:r>
          </w:p>
        </w:tc>
        <w:tc>
          <w:tcPr>
            <w:tcW w:type="dxa" w:w="1872"/>
            <w:vAlign w:val="center"/>
            <w:tcMar>
              <w:top w:w="60" w:type="dxa"/>
              <w:bottom w:w="60" w:type="dxa"/>
              <w:left w:w="90" w:type="dxa"/>
              <w:right w:w="90" w:type="dxa"/>
            </w:tcMar>
            <w:shd w:fill="FFFFFF"/>
          </w:tcPr>
          <w:p>
            <w:pPr>
              <w:jc w:val="center"/>
            </w:pPr>
            <w:r>
              <w:rPr>
                <w:rFonts w:ascii="Times New Roman" w:hAnsi="Times New Roman"/>
                <w:color w:val="1E293B"/>
                <w:sz w:val="18"/>
              </w:rPr>
              <w:t>12 / 12 (100%)</w:t>
            </w:r>
          </w:p>
        </w:tc>
      </w:tr>
      <w:tr>
        <w:tc>
          <w:tcPr>
            <w:tcW w:type="dxa" w:w="1872"/>
            <w:vAlign w:val="center"/>
            <w:tcMar>
              <w:top w:w="60" w:type="dxa"/>
              <w:bottom w:w="60" w:type="dxa"/>
              <w:left w:w="90" w:type="dxa"/>
              <w:right w:w="90" w:type="dxa"/>
            </w:tcMar>
            <w:shd w:fill="F8FAFC"/>
          </w:tcPr>
          <w:p>
            <w:pPr>
              <w:jc w:val="left"/>
            </w:pPr>
            <w:r>
              <w:rPr>
                <w:rFonts w:ascii="Times New Roman" w:hAnsi="Times New Roman"/>
                <w:color w:val="1E293B"/>
                <w:sz w:val="18"/>
              </w:rPr>
              <w:t>Wine Quality</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13 Chemical</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178 Samples</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0.891</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24 / 24 (100%)</w:t>
            </w:r>
          </w:p>
        </w:tc>
      </w:tr>
      <w:tr>
        <w:tc>
          <w:tcPr>
            <w:tcW w:type="dxa" w:w="1872"/>
            <w:vAlign w:val="center"/>
            <w:tcMar>
              <w:top w:w="60" w:type="dxa"/>
              <w:bottom w:w="60" w:type="dxa"/>
              <w:left w:w="90" w:type="dxa"/>
              <w:right w:w="90" w:type="dxa"/>
            </w:tcMar>
            <w:shd w:fill="FFFFFF"/>
          </w:tcPr>
          <w:p>
            <w:pPr>
              <w:jc w:val="left"/>
            </w:pPr>
            <w:r>
              <w:rPr>
                <w:rFonts w:ascii="Times New Roman" w:hAnsi="Times New Roman"/>
                <w:color w:val="1E293B"/>
                <w:sz w:val="18"/>
              </w:rPr>
              <w:t>MNIST Digits</w:t>
            </w:r>
          </w:p>
        </w:tc>
        <w:tc>
          <w:tcPr>
            <w:tcW w:type="dxa" w:w="1872"/>
            <w:vAlign w:val="center"/>
            <w:tcMar>
              <w:top w:w="60" w:type="dxa"/>
              <w:bottom w:w="60" w:type="dxa"/>
              <w:left w:w="90" w:type="dxa"/>
              <w:right w:w="90" w:type="dxa"/>
            </w:tcMar>
            <w:shd w:fill="FFFFFF"/>
          </w:tcPr>
          <w:p>
            <w:pPr>
              <w:jc w:val="center"/>
            </w:pPr>
            <w:r>
              <w:rPr>
                <w:rFonts w:ascii="Times New Roman" w:hAnsi="Times New Roman"/>
                <w:color w:val="1E293B"/>
                <w:sz w:val="18"/>
              </w:rPr>
              <w:t>64 Pixels</w:t>
            </w:r>
          </w:p>
        </w:tc>
        <w:tc>
          <w:tcPr>
            <w:tcW w:type="dxa" w:w="1872"/>
            <w:vAlign w:val="center"/>
            <w:tcMar>
              <w:top w:w="60" w:type="dxa"/>
              <w:bottom w:w="60" w:type="dxa"/>
              <w:left w:w="90" w:type="dxa"/>
              <w:right w:w="90" w:type="dxa"/>
            </w:tcMar>
            <w:shd w:fill="FFFFFF"/>
          </w:tcPr>
          <w:p>
            <w:pPr>
              <w:jc w:val="center"/>
            </w:pPr>
            <w:r>
              <w:rPr>
                <w:rFonts w:ascii="Times New Roman" w:hAnsi="Times New Roman"/>
                <w:color w:val="1E293B"/>
                <w:sz w:val="18"/>
              </w:rPr>
              <w:t>400 Digits</w:t>
            </w:r>
          </w:p>
        </w:tc>
        <w:tc>
          <w:tcPr>
            <w:tcW w:type="dxa" w:w="1872"/>
            <w:vAlign w:val="center"/>
            <w:tcMar>
              <w:top w:w="60" w:type="dxa"/>
              <w:bottom w:w="60" w:type="dxa"/>
              <w:left w:w="90" w:type="dxa"/>
              <w:right w:w="90" w:type="dxa"/>
            </w:tcMar>
            <w:shd w:fill="FFFFFF"/>
          </w:tcPr>
          <w:p>
            <w:pPr>
              <w:jc w:val="center"/>
            </w:pPr>
            <w:r>
              <w:rPr>
                <w:rFonts w:ascii="Times New Roman" w:hAnsi="Times New Roman"/>
                <w:color w:val="1E293B"/>
                <w:sz w:val="18"/>
              </w:rPr>
              <w:t>0.865</w:t>
            </w:r>
          </w:p>
        </w:tc>
        <w:tc>
          <w:tcPr>
            <w:tcW w:type="dxa" w:w="1872"/>
            <w:vAlign w:val="center"/>
            <w:tcMar>
              <w:top w:w="60" w:type="dxa"/>
              <w:bottom w:w="60" w:type="dxa"/>
              <w:left w:w="90" w:type="dxa"/>
              <w:right w:w="90" w:type="dxa"/>
            </w:tcMar>
            <w:shd w:fill="FFFFFF"/>
          </w:tcPr>
          <w:p>
            <w:pPr>
              <w:jc w:val="center"/>
            </w:pPr>
            <w:r>
              <w:rPr>
                <w:rFonts w:ascii="Times New Roman" w:hAnsi="Times New Roman"/>
                <w:color w:val="1E293B"/>
                <w:sz w:val="18"/>
              </w:rPr>
              <w:t>68 / 72 (94.4%)</w:t>
            </w:r>
          </w:p>
        </w:tc>
      </w:tr>
      <w:tr>
        <w:tc>
          <w:tcPr>
            <w:tcW w:type="dxa" w:w="1872"/>
            <w:vAlign w:val="center"/>
            <w:tcMar>
              <w:top w:w="60" w:type="dxa"/>
              <w:bottom w:w="60" w:type="dxa"/>
              <w:left w:w="90" w:type="dxa"/>
              <w:right w:w="90" w:type="dxa"/>
            </w:tcMar>
            <w:shd w:fill="F8FAFC"/>
          </w:tcPr>
          <w:p>
            <w:pPr>
              <w:jc w:val="left"/>
            </w:pPr>
            <w:r>
              <w:rPr>
                <w:rFonts w:ascii="Times New Roman" w:hAnsi="Times New Roman"/>
                <w:color w:val="1E293B"/>
                <w:sz w:val="18"/>
              </w:rPr>
              <w:t>Synthetic Clusters</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8 Geometric</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300 Points</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0.884</w:t>
            </w:r>
          </w:p>
        </w:tc>
        <w:tc>
          <w:tcPr>
            <w:tcW w:type="dxa" w:w="1872"/>
            <w:vAlign w:val="center"/>
            <w:tcMar>
              <w:top w:w="60" w:type="dxa"/>
              <w:bottom w:w="60" w:type="dxa"/>
              <w:left w:w="90" w:type="dxa"/>
              <w:right w:w="90" w:type="dxa"/>
            </w:tcMar>
            <w:shd w:fill="F8FAFC"/>
          </w:tcPr>
          <w:p>
            <w:pPr>
              <w:jc w:val="center"/>
            </w:pPr>
            <w:r>
              <w:rPr>
                <w:rFonts w:ascii="Times New Roman" w:hAnsi="Times New Roman"/>
                <w:color w:val="1E293B"/>
                <w:sz w:val="18"/>
              </w:rPr>
              <w:t>45 / 45 (100%)</w:t>
            </w:r>
          </w:p>
        </w:tc>
      </w:tr>
    </w:tbl>
    <w:p>
      <w:r>
        <w:br w:type="page"/>
      </w:r>
    </w:p>
    <w:p>
      <w:pPr>
        <w:spacing w:before="120" w:after="80"/>
      </w:pPr>
      <w:r>
        <w:rPr>
          <w:rFonts w:ascii="Times New Roman" w:hAnsi="Times New Roman"/>
          <w:b/>
          <w:color w:val="1E3A8A"/>
          <w:sz w:val="28"/>
        </w:rPr>
        <w:t>9.0 CONCLUSION &amp; FUTURE DIRECTIONS</w:t>
      </w:r>
    </w:p>
    <w:p>
      <w:pPr>
        <w:spacing w:line="276" w:lineRule="auto" w:after="120"/>
      </w:pPr>
      <w:r>
        <w:t>The ggtrust project demonstrates that the Silent Hallucination Crisis in dimensionality reduction scatterplots is not an inevitable limitation of non-linear algorithms, but rather a failure of visual representation. By embedding formal topological quality metrics directly into the visual encodings—via concentric Gaussian halos, continuous density fields, interactive topological tethers, 4-quadrant typology phase planes, parallel coordinate feature geometries, and diagnostic tables—ggtrust transforms deceptive 2D projections into trustworthy, auditable instruments for high-stakes scientific discovery.</w:t>
        <w:br/>
        <w:br/>
        <w:t>Future engineering directions include WebGL-accelerated GPU rendering for million-cell atlases, integration into native Bioconductor SingleCellExperiment workflows, and automated perceptual optimization of halo falloff parameters.</w:t>
      </w:r>
    </w:p>
    <w:p>
      <w:pPr>
        <w:spacing w:before="160" w:after="80"/>
      </w:pPr>
      <w:r>
        <w:rPr>
          <w:rFonts w:ascii="Times New Roman" w:hAnsi="Times New Roman"/>
          <w:b/>
          <w:color w:val="1E3A8A"/>
          <w:sz w:val="28"/>
        </w:rPr>
        <w:t>10.0 REFERENCES</w:t>
      </w:r>
    </w:p>
    <w:p>
      <w:pPr>
        <w:spacing w:after="60"/>
        <w:ind w:left="432" w:hanging="432"/>
      </w:pPr>
      <w:hyperlink r:id="rId22">
        <w:r>
          <w:rPr>
            <w:rFonts w:ascii="Times New Roman" w:hAnsi="Times New Roman"/>
            <w:color w:val="1E3A8A"/>
            <w:sz w:val="17"/>
            <w:u w:val="single"/>
          </w:rPr>
          <w:t>Venna, J., &amp; Kaski, S. (2001). Neighborhood preservation in nonlinear projection methods. In Proceedings of the International Conference on Artificial Neural Networks (ICANN), pp. 485–491.</w:t>
        </w:r>
      </w:hyperlink>
    </w:p>
    <w:p>
      <w:pPr>
        <w:spacing w:after="60"/>
        <w:ind w:left="432" w:hanging="432"/>
      </w:pPr>
      <w:hyperlink r:id="rId23">
        <w:r>
          <w:rPr>
            <w:rFonts w:ascii="Times New Roman" w:hAnsi="Times New Roman"/>
            <w:color w:val="1E3A8A"/>
            <w:sz w:val="17"/>
            <w:u w:val="single"/>
          </w:rPr>
          <w:t>Venna, J., &amp; Kaski, S. (2006). Local multidimensional scaling with applications. Neural Networks, 19(6-7), 889–899.</w:t>
        </w:r>
      </w:hyperlink>
    </w:p>
    <w:p>
      <w:pPr>
        <w:spacing w:after="60"/>
        <w:ind w:left="432" w:hanging="432"/>
      </w:pPr>
      <w:hyperlink r:id="rId24">
        <w:r>
          <w:rPr>
            <w:rFonts w:ascii="Times New Roman" w:hAnsi="Times New Roman"/>
            <w:color w:val="1E3A8A"/>
            <w:sz w:val="17"/>
            <w:u w:val="single"/>
          </w:rPr>
          <w:t>van der Maaten, L., &amp; Hinton, G. (2008). Visualizing data using t-SNE. Journal of Machine Learning Research, 9(Nov), 2579–2605.</w:t>
        </w:r>
      </w:hyperlink>
    </w:p>
    <w:p>
      <w:pPr>
        <w:spacing w:after="60"/>
        <w:ind w:left="432" w:hanging="432"/>
      </w:pPr>
      <w:hyperlink r:id="rId25">
        <w:r>
          <w:rPr>
            <w:rFonts w:ascii="Times New Roman" w:hAnsi="Times New Roman"/>
            <w:color w:val="1E3A8A"/>
            <w:sz w:val="17"/>
            <w:u w:val="single"/>
          </w:rPr>
          <w:t>McInnes, L., Healy, J., &amp; Melville, J. (2018). UMAP: Uniform Manifold Approximation and Projection for dimension reduction. arXiv preprint arXiv:1802.03426.</w:t>
        </w:r>
      </w:hyperlink>
    </w:p>
    <w:p>
      <w:pPr>
        <w:spacing w:after="60"/>
        <w:ind w:left="432" w:hanging="432"/>
      </w:pPr>
      <w:hyperlink r:id="rId26">
        <w:r>
          <w:rPr>
            <w:rFonts w:ascii="Times New Roman" w:hAnsi="Times New Roman"/>
            <w:color w:val="1E3A8A"/>
            <w:sz w:val="17"/>
            <w:u w:val="single"/>
          </w:rPr>
          <w:t>Wilkinson, L. (2005). The Grammar of Graphics (2nd ed.). Springer Science &amp; Business Media.</w:t>
        </w:r>
      </w:hyperlink>
    </w:p>
    <w:p>
      <w:pPr>
        <w:spacing w:after="60"/>
        <w:ind w:left="432" w:hanging="432"/>
      </w:pPr>
      <w:hyperlink r:id="rId27">
        <w:r>
          <w:rPr>
            <w:rFonts w:ascii="Times New Roman" w:hAnsi="Times New Roman"/>
            <w:color w:val="1E3A8A"/>
            <w:sz w:val="17"/>
            <w:u w:val="single"/>
          </w:rPr>
          <w:t>Wickham, H. (2010). A layered grammar of graphics. Journal of Computational and Graphical Statistics, 19(1), 3–28.</w:t>
        </w:r>
      </w:hyperlink>
    </w:p>
    <w:p>
      <w:pPr>
        <w:spacing w:after="60"/>
        <w:ind w:left="432" w:hanging="432"/>
      </w:pPr>
      <w:hyperlink r:id="rId28">
        <w:r>
          <w:rPr>
            <w:rFonts w:ascii="Times New Roman" w:hAnsi="Times New Roman"/>
            <w:color w:val="1E3A8A"/>
            <w:sz w:val="17"/>
            <w:u w:val="single"/>
          </w:rPr>
          <w:t>Sedlmair, M., Tatu, A., Munzner, T., &amp; Tory, M. (2012). A taxonomy of visual cluster separation factors. Computer Graphics Forum, 31(3pt4), 1335–1344.</w:t>
        </w:r>
      </w:hyperlink>
    </w:p>
    <w:p>
      <w:pPr>
        <w:spacing w:after="60"/>
        <w:ind w:left="432" w:hanging="432"/>
      </w:pPr>
      <w:hyperlink r:id="rId29">
        <w:r>
          <w:rPr>
            <w:rFonts w:ascii="Times New Roman" w:hAnsi="Times New Roman"/>
            <w:color w:val="1E3A8A"/>
            <w:sz w:val="17"/>
            <w:u w:val="single"/>
          </w:rPr>
          <w:t>Nonato, L. G., &amp; Aupetit, M. (2018). Multidimensional projection for visual data exploration and analysis: A survey. IEEE Transactions on Visualization and Computer Graphics, 25(8), 2650–2673.</w:t>
        </w:r>
      </w:hyperlink>
    </w:p>
    <w:p>
      <w:pPr>
        <w:spacing w:after="60"/>
        <w:ind w:left="432" w:hanging="432"/>
      </w:pPr>
      <w:hyperlink r:id="rId30">
        <w:r>
          <w:rPr>
            <w:rFonts w:ascii="Times New Roman" w:hAnsi="Times New Roman"/>
            <w:color w:val="1E3A8A"/>
            <w:sz w:val="17"/>
            <w:u w:val="single"/>
          </w:rPr>
          <w:t>Chatzimparmpas, A., Martins, R. M., &amp; Kerren, A. (2020). State of the art of visual analytics for explainable deep learning. Computer Graphics Forum, 39(3), 713–752.</w:t>
        </w:r>
      </w:hyperlink>
    </w:p>
    <w:p>
      <w:pPr>
        <w:spacing w:after="60"/>
        <w:ind w:left="432" w:hanging="432"/>
      </w:pPr>
      <w:hyperlink r:id="rId31">
        <w:r>
          <w:rPr>
            <w:rFonts w:ascii="Times New Roman" w:hAnsi="Times New Roman"/>
            <w:color w:val="1E3A8A"/>
            <w:sz w:val="17"/>
            <w:u w:val="single"/>
          </w:rPr>
          <w:t>Coimbra, D. B., Martins, R. M., Neves, T. T., Telea, A. C., &amp; Nonato, L. G. (2016). Explaining three-dimensional dimensionality reduction plots. Information Visualization, 15(2), 154–172.</w:t>
        </w:r>
      </w:hyperlink>
    </w:p>
    <w:p>
      <w:pPr>
        <w:spacing w:after="60"/>
        <w:ind w:left="432" w:hanging="432"/>
      </w:pPr>
      <w:hyperlink r:id="rId32">
        <w:r>
          <w:rPr>
            <w:rFonts w:ascii="Times New Roman" w:hAnsi="Times New Roman"/>
            <w:color w:val="1E3A8A"/>
            <w:sz w:val="17"/>
            <w:u w:val="single"/>
          </w:rPr>
          <w:t>Heer, J., &amp; Bostock, M. (2010). Crowdsourcing graphical perception: using mechanical turk to assess visualization design. In Proceedings of the SIGCHI Conference on Human Factors in Computing Systems, pp. 203–212.</w:t>
        </w:r>
      </w:hyperlink>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7"/>
      </w:rPr>
      <w:t xml:space="preserve">Visualizing Point Reliability in DR | Academic Project Report    Page </w:t>
    </w:r>
    <w:r>
      <w:rPr>
        <w:rFonts w:ascii="Times New Roman" w:hAnsi="Times New Roman"/>
        <w:b/>
        <w:color w:val="1E3A8A"/>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doi.org/10.1007/3-540-44668-0_68" TargetMode="External"/><Relationship Id="rId23" Type="http://schemas.openxmlformats.org/officeDocument/2006/relationships/hyperlink" Target="https://doi.org/10.1016/j.neunet.2006.05.014" TargetMode="External"/><Relationship Id="rId24" Type="http://schemas.openxmlformats.org/officeDocument/2006/relationships/hyperlink" Target="https://www.jmlr.org/papers/v9/vandermaaten08a.html" TargetMode="External"/><Relationship Id="rId25" Type="http://schemas.openxmlformats.org/officeDocument/2006/relationships/hyperlink" Target="https://arxiv.org/abs/1802.03426" TargetMode="External"/><Relationship Id="rId26" Type="http://schemas.openxmlformats.org/officeDocument/2006/relationships/hyperlink" Target="https://doi.org/10.1007/0-387-28695-0" TargetMode="External"/><Relationship Id="rId27" Type="http://schemas.openxmlformats.org/officeDocument/2006/relationships/hyperlink" Target="https://doi.org/10.1198/jcgs.2009.07098" TargetMode="External"/><Relationship Id="rId28" Type="http://schemas.openxmlformats.org/officeDocument/2006/relationships/hyperlink" Target="https://doi.org/10.1111/j.1467-8659.2012.03125.x" TargetMode="External"/><Relationship Id="rId29" Type="http://schemas.openxmlformats.org/officeDocument/2006/relationships/hyperlink" Target="https://doi.org/10.1109/TVCG.2018.2846735" TargetMode="External"/><Relationship Id="rId30" Type="http://schemas.openxmlformats.org/officeDocument/2006/relationships/hyperlink" Target="https://doi.org/10.1111/cgf.14022" TargetMode="External"/><Relationship Id="rId31" Type="http://schemas.openxmlformats.org/officeDocument/2006/relationships/hyperlink" Target="https://doi.org/10.1177/1473871615591974" TargetMode="External"/><Relationship Id="rId32" Type="http://schemas.openxmlformats.org/officeDocument/2006/relationships/hyperlink" Target="https://doi.org/10.1145/1753326.1753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