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24"/>
          <w:szCs w:val="24"/>
        </w:rPr>
        <w:t xml:space="preserve">Visualizing Point Reliability in Dimensionality Reduction Scatterplots</w:t>
      </w:r>
    </w:p>
    <w:p>
      <w:pPr>
        <w:spacing w:after="80"/>
        <w:jc w:val="center"/>
      </w:pPr>
      <w:r>
        <w:rPr>
          <w:rFonts w:ascii="Calibri" w:cs="Calibri" w:eastAsia="Calibri" w:hAnsi="Calibri"/>
          <w:i/>
          <w:iCs/>
          <w:color w:val="44546A"/>
          <w:sz w:val="17"/>
          <w:szCs w:val="17"/>
        </w:rPr>
        <w:t xml:space="preserve">A Grammar-of-Graphics Extension for Encoding Per-Point Spatialization Fidelity</w:t>
      </w:r>
    </w:p>
    <w:p>
      <w:pPr>
        <w:pBdr>
          <w:bottom w:val="single" w:color="1F3864" w:sz="4" w:space="2"/>
        </w:pBdr>
        <w:spacing w:after="30" w:before="90"/>
      </w:pPr>
      <w:r>
        <w:rPr>
          <w:rFonts w:ascii="Calibri" w:cs="Calibri" w:eastAsia="Calibri" w:hAnsi="Calibri"/>
          <w:b/>
          <w:bCs/>
          <w:color w:val="1F3864"/>
          <w:sz w:val="19"/>
          <w:szCs w:val="19"/>
        </w:rPr>
        <w:t xml:space="preserve">Research Gap</w:t>
      </w:r>
    </w:p>
    <w:p>
      <w:pPr>
        <w:spacing w:after="40"/>
      </w:pPr>
      <w:r>
        <w:rPr>
          <w:rFonts w:ascii="Calibri" w:cs="Calibri" w:eastAsia="Calibri" w:hAnsi="Calibri"/>
          <w:sz w:val="17"/>
          <w:szCs w:val="17"/>
        </w:rPr>
        <w:t xml:space="preserve">Dimensionality reduction (DR) methods such as t-SNE and UMAP are widely used to turn high-dimensional data into 2D scatterplots, but these projections often distort the original structure. Studies show this leads to frequent misreading of cluster relationships in practice (Jeon, Park, Shin, &amp; Seo, 2025). A separate survey of DR-based visual analytics finds that current tools rarely go beyond plotting raw coordinates and lack any built-in reliability indicator (Jeon et al., 2025). At the same time, uncertainty visualization research argues that uncertainty needs a formal place inside the grammar of graphics rather than being left to ad-hoc color mapping, and that this gap remains unresolved in existing plotting libraries (Mason, Cook, Goodwin, Tanaka, &amp; VanderPlas, 2024). Per-point quality metrics that could fill this gap already exist mathematically (Venna &amp; Kaski, 2006), but no plotting system turns them into a visual encoding.</w:t>
      </w:r>
    </w:p>
    <w:p>
      <w:pPr>
        <w:pBdr>
          <w:bottom w:val="single" w:color="1F3864" w:sz="4" w:space="2"/>
        </w:pBdr>
        <w:spacing w:after="30" w:before="90"/>
      </w:pPr>
      <w:r>
        <w:rPr>
          <w:rFonts w:ascii="Calibri" w:cs="Calibri" w:eastAsia="Calibri" w:hAnsi="Calibri"/>
          <w:b/>
          <w:bCs/>
          <w:color w:val="1F3864"/>
          <w:sz w:val="19"/>
          <w:szCs w:val="19"/>
        </w:rPr>
        <w:t xml:space="preserve">Problem Statement</w:t>
      </w:r>
    </w:p>
    <w:p>
      <w:pPr>
        <w:spacing w:after="40"/>
      </w:pPr>
      <w:r>
        <w:rPr>
          <w:rFonts w:ascii="Calibri" w:cs="Calibri" w:eastAsia="Calibri" w:hAnsi="Calibri"/>
          <w:sz w:val="17"/>
          <w:szCs w:val="17"/>
        </w:rPr>
        <w:t xml:space="preserve">When a DR scatterplot is shown, some points sit close to their true high-dimensional neighbors while others are badly displaced by the projection. Analysts have no way to tell which points to trust, so they often read projection artifacts as real patterns. There is currently no principled way to show, point by point, how much a plotted position can be relied on.</w:t>
      </w:r>
    </w:p>
    <w:p>
      <w:pPr>
        <w:pBdr>
          <w:bottom w:val="single" w:color="1F3864" w:sz="4" w:space="2"/>
        </w:pBdr>
        <w:spacing w:after="30" w:before="90"/>
      </w:pPr>
      <w:r>
        <w:rPr>
          <w:rFonts w:ascii="Calibri" w:cs="Calibri" w:eastAsia="Calibri" w:hAnsi="Calibri"/>
          <w:b/>
          <w:bCs/>
          <w:color w:val="1F3864"/>
          <w:sz w:val="19"/>
          <w:szCs w:val="19"/>
        </w:rPr>
        <w:t xml:space="preserve">Objectives</w:t>
      </w:r>
    </w:p>
    <w:p>
      <w:pPr>
        <w:pStyle w:val="ListParagraph"/>
        <w:numPr>
          <w:ilvl w:val="0"/>
          <w:numId w:val="2"/>
        </w:numPr>
        <w:spacing w:after="20"/>
      </w:pPr>
      <w:r>
        <w:rPr>
          <w:rFonts w:ascii="Calibri" w:cs="Calibri" w:eastAsia="Calibri" w:hAnsi="Calibri"/>
          <w:sz w:val="17"/>
          <w:szCs w:val="17"/>
        </w:rPr>
        <w:t xml:space="preserve">Design a visual encoding that shows per-point reliability without hiding the point or overloading the plot.</w:t>
      </w:r>
    </w:p>
    <w:p>
      <w:pPr>
        <w:pStyle w:val="ListParagraph"/>
        <w:numPr>
          <w:ilvl w:val="0"/>
          <w:numId w:val="2"/>
        </w:numPr>
        <w:spacing w:after="20"/>
      </w:pPr>
      <w:r>
        <w:rPr>
          <w:rFonts w:ascii="Calibri" w:cs="Calibri" w:eastAsia="Calibri" w:hAnsi="Calibri"/>
          <w:sz w:val="17"/>
          <w:szCs w:val="17"/>
        </w:rPr>
        <w:t xml:space="preserve">Compute reliability automatically from standard DR quality measures (trustworthiness and continuity).</w:t>
      </w:r>
    </w:p>
    <w:p>
      <w:pPr>
        <w:pStyle w:val="ListParagraph"/>
        <w:numPr>
          <w:ilvl w:val="0"/>
          <w:numId w:val="2"/>
        </w:numPr>
        <w:spacing w:after="20"/>
      </w:pPr>
      <w:r>
        <w:rPr>
          <w:rFonts w:ascii="Calibri" w:cs="Calibri" w:eastAsia="Calibri" w:hAnsi="Calibri"/>
          <w:sz w:val="17"/>
          <w:szCs w:val="17"/>
        </w:rPr>
        <w:t xml:space="preserve">Build this as a proper layer in the grammar of graphics, not as a manual color hack, so it works with any ggplot2 scatterplot.</w:t>
      </w:r>
    </w:p>
    <w:p>
      <w:pPr>
        <w:pStyle w:val="ListParagraph"/>
        <w:numPr>
          <w:ilvl w:val="0"/>
          <w:numId w:val="2"/>
        </w:numPr>
        <w:spacing w:after="20"/>
      </w:pPr>
      <w:r>
        <w:rPr>
          <w:rFonts w:ascii="Calibri" w:cs="Calibri" w:eastAsia="Calibri" w:hAnsi="Calibri"/>
          <w:sz w:val="17"/>
          <w:szCs w:val="17"/>
        </w:rPr>
        <w:t xml:space="preserve">Test with real users whether showing reliability actually improves how correctly they read cluster structure.</w:t>
      </w:r>
    </w:p>
    <w:p>
      <w:pPr>
        <w:pBdr>
          <w:bottom w:val="single" w:color="1F3864" w:sz="4" w:space="2"/>
        </w:pBdr>
        <w:spacing w:after="30" w:before="90"/>
      </w:pPr>
      <w:r>
        <w:rPr>
          <w:rFonts w:ascii="Calibri" w:cs="Calibri" w:eastAsia="Calibri" w:hAnsi="Calibri"/>
          <w:b/>
          <w:bCs/>
          <w:color w:val="1F3864"/>
          <w:sz w:val="19"/>
          <w:szCs w:val="19"/>
        </w:rPr>
        <w:t xml:space="preserve">Proposed Framework</w:t>
      </w:r>
    </w:p>
    <w:p>
      <w:pPr>
        <w:spacing w:after="40"/>
      </w:pPr>
      <w:r>
        <w:rPr>
          <w:rFonts w:ascii="Calibri" w:cs="Calibri" w:eastAsia="Calibri" w:hAnsi="Calibri"/>
          <w:sz w:val="17"/>
          <w:szCs w:val="17"/>
        </w:rPr>
        <w:t xml:space="preserve">ggtrust: an R package that adds spatialization fidelity as a computed layer on top of any ggplot2 scatterplot, following the same pattern ggplot2 already uses for fitted lines (geom_smooth). A new stat, StatTrustDR, computes each point's trustworthiness and continuity (Venna &amp; Kaski, 2006) and combines them into one fidelity score. This score is rendered in two modes: Halo Mode draws a soft ring around each point, where the ring's size flags points worth a closer look and its opacity shows how much to trust them; Landscape Mode draws a smoothed background heatmap so the overall reliability of a region can be judged at a glance. The fidelity computation and its visual rendering are kept separate, so the score is treated as information about the plot itself, not as a value borrowed from the data.</w:t>
      </w:r>
    </w:p>
    <w:p>
      <w:pPr>
        <w:pBdr>
          <w:bottom w:val="single" w:color="1F3864" w:sz="4" w:space="2"/>
        </w:pBdr>
        <w:spacing w:after="30" w:before="90"/>
      </w:pPr>
      <w:r>
        <w:rPr>
          <w:rFonts w:ascii="Calibri" w:cs="Calibri" w:eastAsia="Calibri" w:hAnsi="Calibri"/>
          <w:b/>
          <w:bCs/>
          <w:color w:val="1F3864"/>
          <w:sz w:val="19"/>
          <w:szCs w:val="19"/>
        </w:rPr>
        <w:t xml:space="preserve">Expected Contributions</w:t>
      </w:r>
    </w:p>
    <w:p>
      <w:pPr>
        <w:pStyle w:val="ListParagraph"/>
        <w:numPr>
          <w:ilvl w:val="0"/>
          <w:numId w:val="2"/>
        </w:numPr>
        <w:spacing w:after="20"/>
      </w:pPr>
      <w:r>
        <w:rPr>
          <w:rFonts w:ascii="Calibri" w:cs="Calibri" w:eastAsia="Calibri" w:hAnsi="Calibri"/>
          <w:sz w:val="17"/>
          <w:szCs w:val="17"/>
        </w:rPr>
        <w:t xml:space="preserve">A halo-based encoding that shows both which points need attention and how much to trust them, in a single mark.</w:t>
      </w:r>
    </w:p>
    <w:p>
      <w:pPr>
        <w:pStyle w:val="ListParagraph"/>
        <w:numPr>
          <w:ilvl w:val="0"/>
          <w:numId w:val="2"/>
        </w:numPr>
        <w:spacing w:after="20"/>
      </w:pPr>
      <w:r>
        <w:rPr>
          <w:rFonts w:ascii="Calibri" w:cs="Calibri" w:eastAsia="Calibri" w:hAnsi="Calibri"/>
          <w:sz w:val="17"/>
          <w:szCs w:val="17"/>
        </w:rPr>
        <w:t xml:space="preserve">A background landscape view that shows overall projection quality at a glance, without cluttering individual points.</w:t>
      </w:r>
    </w:p>
    <w:p>
      <w:pPr>
        <w:pStyle w:val="ListParagraph"/>
        <w:numPr>
          <w:ilvl w:val="0"/>
          <w:numId w:val="2"/>
        </w:numPr>
        <w:spacing w:after="20"/>
      </w:pPr>
      <w:r>
        <w:rPr>
          <w:rFonts w:ascii="Calibri" w:cs="Calibri" w:eastAsia="Calibri" w:hAnsi="Calibri"/>
          <w:sz w:val="17"/>
          <w:szCs w:val="17"/>
        </w:rPr>
        <w:t xml:space="preserve">The first grammar-of-graphics implementation that treats point reliability as a computed layer rather than a manual color or size hack.</w:t>
      </w:r>
    </w:p>
    <w:p>
      <w:pPr>
        <w:pStyle w:val="ListParagraph"/>
        <w:numPr>
          <w:ilvl w:val="0"/>
          <w:numId w:val="2"/>
        </w:numPr>
        <w:spacing w:after="20"/>
      </w:pPr>
      <w:r>
        <w:rPr>
          <w:rFonts w:ascii="Calibri" w:cs="Calibri" w:eastAsia="Calibri" w:hAnsi="Calibri"/>
          <w:sz w:val="17"/>
          <w:szCs w:val="17"/>
        </w:rPr>
        <w:t xml:space="preserve">An open-source R package (ggtrust) that works with any existing ggplot2 scatterplot.</w:t>
      </w:r>
    </w:p>
    <w:p>
      <w:pPr>
        <w:pStyle w:val="ListParagraph"/>
        <w:numPr>
          <w:ilvl w:val="0"/>
          <w:numId w:val="2"/>
        </w:numPr>
        <w:spacing w:after="20"/>
      </w:pPr>
      <w:r>
        <w:rPr>
          <w:rFonts w:ascii="Calibri" w:cs="Calibri" w:eastAsia="Calibri" w:hAnsi="Calibri"/>
          <w:sz w:val="17"/>
          <w:szCs w:val="17"/>
        </w:rPr>
        <w:t xml:space="preserve">Study evidence on whether showing reliability actually changes how accurately people read cluster structure.</w:t>
      </w:r>
    </w:p>
    <w:p>
      <w:pPr>
        <w:pBdr>
          <w:bottom w:val="single" w:color="1F3864" w:sz="4" w:space="2"/>
        </w:pBdr>
        <w:spacing w:after="30" w:before="90"/>
      </w:pPr>
      <w:r>
        <w:rPr>
          <w:rFonts w:ascii="Calibri" w:cs="Calibri" w:eastAsia="Calibri" w:hAnsi="Calibri"/>
          <w:b/>
          <w:bCs/>
          <w:color w:val="1F3864"/>
          <w:sz w:val="19"/>
          <w:szCs w:val="19"/>
        </w:rPr>
        <w:t xml:space="preserve">Evaluation Plan</w:t>
      </w:r>
    </w:p>
    <w:p>
      <w:pPr>
        <w:spacing w:after="40"/>
      </w:pPr>
      <w:r>
        <w:rPr>
          <w:rFonts w:ascii="Calibri" w:cs="Calibri" w:eastAsia="Calibri" w:hAnsi="Calibri"/>
          <w:sz w:val="17"/>
          <w:szCs w:val="17"/>
        </w:rPr>
        <w:t xml:space="preserve">A within-subjects study with 24 participants. Each person sees four versions of the same scatterplot — plain, Halo Mode, Landscape Mode, and both combined — across three tasks (judging overall projection quality, spotting unreliable points, and reading cluster structure) and three datasets with known ground truth. The order of versions is rotated across participants to cancel out learning effects. The study measures accuracy, time taken, and how well people's confidence matches their actual accuracy, then compares the four versions using repeated-measures ANOVA.</w:t>
      </w:r>
    </w:p>
    <w:p>
      <w:pPr>
        <w:pBdr>
          <w:bottom w:val="single" w:color="1F3864" w:sz="4" w:space="2"/>
        </w:pBdr>
        <w:spacing w:after="30" w:before="90"/>
      </w:pPr>
      <w:r>
        <w:rPr>
          <w:rFonts w:ascii="Calibri" w:cs="Calibri" w:eastAsia="Calibri" w:hAnsi="Calibri"/>
          <w:b/>
          <w:bCs/>
          <w:color w:val="1F3864"/>
          <w:sz w:val="19"/>
          <w:szCs w:val="19"/>
        </w:rPr>
        <w:t xml:space="preserve">Deliverables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c>
          <w:tcPr>
            <w:tcW w:type="dxa" w:w="3000"/>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Stage</w:t>
            </w:r>
          </w:p>
        </w:tc>
        <w:tc>
          <w:tcPr>
            <w:tcW w:type="dxa" w:w="7800"/>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Deliverable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7"/>
                <w:szCs w:val="17"/>
              </w:rPr>
              <w:t xml:space="preserve">Package core</w:t>
            </w:r>
          </w:p>
        </w:tc>
        <w:tc>
          <w:tcPr>
            <w:tcW w:type="dxa" w:w="7800"/>
            <w:tcMar>
              <w:top w:type="dxa" w:w="60"/>
              <w:left w:type="dxa" w:w="100"/>
              <w:bottom w:type="dxa" w:w="60"/>
              <w:right w:type="dxa" w:w="100"/>
            </w:tcMar>
          </w:tcPr>
          <w:p>
            <w:r>
              <w:rPr>
                <w:rFonts w:ascii="Calibri" w:cs="Calibri" w:eastAsia="Calibri" w:hAnsi="Calibri"/>
                <w:b w:val="false"/>
                <w:bCs w:val="false"/>
                <w:color w:val="000000"/>
                <w:sz w:val="17"/>
                <w:szCs w:val="17"/>
              </w:rPr>
              <w:t xml:space="preserve">ggtrust R package with StatTrustDR, Halo Mode, and Landscape Mode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7"/>
                <w:szCs w:val="17"/>
              </w:rPr>
              <w:t xml:space="preserve">Study materials</w:t>
            </w:r>
          </w:p>
        </w:tc>
        <w:tc>
          <w:tcPr>
            <w:tcW w:type="dxa" w:w="7800"/>
            <w:tcMar>
              <w:top w:type="dxa" w:w="60"/>
              <w:left w:type="dxa" w:w="100"/>
              <w:bottom w:type="dxa" w:w="60"/>
              <w:right w:type="dxa" w:w="100"/>
            </w:tcMar>
          </w:tcPr>
          <w:p>
            <w:r>
              <w:rPr>
                <w:rFonts w:ascii="Calibri" w:cs="Calibri" w:eastAsia="Calibri" w:hAnsi="Calibri"/>
                <w:b w:val="false"/>
                <w:bCs w:val="false"/>
                <w:color w:val="000000"/>
                <w:sz w:val="17"/>
                <w:szCs w:val="17"/>
              </w:rPr>
              <w:t xml:space="preserve">Study protocol, task stimuli, and datasets prepared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7"/>
                <w:szCs w:val="17"/>
              </w:rPr>
              <w:t xml:space="preserve">Study results</w:t>
            </w:r>
          </w:p>
        </w:tc>
        <w:tc>
          <w:tcPr>
            <w:tcW w:type="dxa" w:w="7800"/>
            <w:tcMar>
              <w:top w:type="dxa" w:w="60"/>
              <w:left w:type="dxa" w:w="100"/>
              <w:bottom w:type="dxa" w:w="60"/>
              <w:right w:type="dxa" w:w="100"/>
            </w:tcMar>
          </w:tcPr>
          <w:p>
            <w:r>
              <w:rPr>
                <w:rFonts w:ascii="Calibri" w:cs="Calibri" w:eastAsia="Calibri" w:hAnsi="Calibri"/>
                <w:b w:val="false"/>
                <w:bCs w:val="false"/>
                <w:color w:val="000000"/>
                <w:sz w:val="17"/>
                <w:szCs w:val="17"/>
              </w:rPr>
              <w:t xml:space="preserve">Completed study (n=24) with analysis scripts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7"/>
                <w:szCs w:val="17"/>
              </w:rPr>
              <w:t xml:space="preserve">Write-up</w:t>
            </w:r>
          </w:p>
        </w:tc>
        <w:tc>
          <w:tcPr>
            <w:tcW w:type="dxa" w:w="7800"/>
            <w:tcMar>
              <w:top w:type="dxa" w:w="60"/>
              <w:left w:type="dxa" w:w="100"/>
              <w:bottom w:type="dxa" w:w="60"/>
              <w:right w:type="dxa" w:w="100"/>
            </w:tcMar>
          </w:tcPr>
          <w:p>
            <w:r>
              <w:rPr>
                <w:rFonts w:ascii="Calibri" w:cs="Calibri" w:eastAsia="Calibri" w:hAnsi="Calibri"/>
                <w:b w:val="false"/>
                <w:bCs w:val="false"/>
                <w:color w:val="000000"/>
                <w:sz w:val="17"/>
                <w:szCs w:val="17"/>
              </w:rPr>
              <w:t xml:space="preserve">Final report and package documentation with usage examples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7"/>
                <w:szCs w:val="17"/>
              </w:rPr>
              <w:t xml:space="preserve">Release</w:t>
            </w:r>
          </w:p>
        </w:tc>
        <w:tc>
          <w:tcPr>
            <w:tcW w:type="dxa" w:w="7800"/>
            <w:tcMar>
              <w:top w:type="dxa" w:w="60"/>
              <w:left w:type="dxa" w:w="100"/>
              <w:bottom w:type="dxa" w:w="60"/>
              <w:right w:type="dxa" w:w="100"/>
            </w:tcMar>
          </w:tcPr>
          <w:p>
            <w:r>
              <w:rPr>
                <w:rFonts w:ascii="Calibri" w:cs="Calibri" w:eastAsia="Calibri" w:hAnsi="Calibri"/>
                <w:b w:val="false"/>
                <w:bCs w:val="false"/>
                <w:color w:val="000000"/>
                <w:sz w:val="17"/>
                <w:szCs w:val="17"/>
              </w:rPr>
              <w:t xml:space="preserve">Package published on GitHub with example vignettes</w:t>
            </w:r>
          </w:p>
        </w:tc>
      </w:tr>
    </w:tbl>
    <w:p>
      <w:pPr>
        <w:pBdr>
          <w:top w:val="single" w:color="999999" w:sz="4" w:space="2"/>
        </w:pBdr>
        <w:spacing w:after="20" w:before="100"/>
      </w:pPr>
      <w:r>
        <w:rPr>
          <w:rFonts w:ascii="Calibri" w:cs="Calibri" w:eastAsia="Calibri" w:hAnsi="Calibri"/>
          <w:b/>
          <w:bCs/>
          <w:color w:val="1F3864"/>
          <w:sz w:val="17"/>
          <w:szCs w:val="17"/>
        </w:rPr>
        <w:t xml:space="preserve">References</w:t>
      </w:r>
    </w:p>
    <w:p>
      <w:pPr>
        <w:spacing w:after="15"/>
        <w:ind w:left="288" w:hanging="288"/>
      </w:pPr>
      <w:r>
        <w:rPr>
          <w:rFonts w:ascii="Calibri" w:cs="Calibri" w:eastAsia="Calibri" w:hAnsi="Calibri"/>
          <w:sz w:val="15"/>
          <w:szCs w:val="15"/>
        </w:rPr>
        <w:t xml:space="preserve">Jeon, H., Park, J., Shin, S., &amp; Seo, J. (2025). Stop misusing t-SNE and UMAP for visual analytics. arXiv:2506.08725.</w:t>
      </w:r>
    </w:p>
    <w:p>
      <w:pPr>
        <w:spacing w:after="15"/>
        <w:ind w:left="288" w:hanging="288"/>
      </w:pPr>
      <w:r>
        <w:rPr>
          <w:rFonts w:ascii="Calibri" w:cs="Calibri" w:eastAsia="Calibri" w:hAnsi="Calibri"/>
          <w:sz w:val="15"/>
          <w:szCs w:val="15"/>
        </w:rPr>
        <w:t xml:space="preserve">Jeon, H., Lee, H., Kuo, Y.-H., Yang, T., Archambault, D., Ko, S., Fujiwara, T., Ma, K.-L., &amp; Seo, J. (2025). Unveiling high-dimensional backstage: A survey for reliable visual analytics with dimensionality reduction. Proceedings of the 2025 CHI Conference on Human Factors in Computing Systems.</w:t>
      </w:r>
    </w:p>
    <w:p>
      <w:pPr>
        <w:spacing w:after="15"/>
        <w:ind w:left="288" w:hanging="288"/>
      </w:pPr>
      <w:r>
        <w:rPr>
          <w:rFonts w:ascii="Calibri" w:cs="Calibri" w:eastAsia="Calibri" w:hAnsi="Calibri"/>
          <w:sz w:val="15"/>
          <w:szCs w:val="15"/>
        </w:rPr>
        <w:t xml:space="preserve">Mason, H., Cook, D., Goodwin, S., Tanaka, E., &amp; VanderPlas, S. (2024). The noisy work of uncertainty visualisation research: A review. arXiv:2411.10482.</w:t>
      </w:r>
    </w:p>
    <w:p>
      <w:pPr>
        <w:spacing w:after="15"/>
        <w:ind w:left="288" w:hanging="288"/>
      </w:pPr>
      <w:r>
        <w:rPr>
          <w:rFonts w:ascii="Calibri" w:cs="Calibri" w:eastAsia="Calibri" w:hAnsi="Calibri"/>
          <w:sz w:val="15"/>
          <w:szCs w:val="15"/>
        </w:rPr>
        <w:t xml:space="preserve">Venna, J., &amp; Kaski, S. (2006). Local multidimensional scaling. Neural Networks, 19(6-7), 889-899.</w:t>
      </w:r>
    </w:p>
    <w:p>
      <w:pPr>
        <w:spacing w:after="15"/>
        <w:ind w:left="288" w:hanging="288"/>
      </w:pPr>
      <w:r>
        <w:rPr>
          <w:rFonts w:ascii="Calibri" w:cs="Calibri" w:eastAsia="Calibri" w:hAnsi="Calibri"/>
          <w:sz w:val="15"/>
          <w:szCs w:val="15"/>
        </w:rPr>
        <w:t xml:space="preserve">Wilkinson, L. (2005). The grammar of graphics (2nd ed.). Springer.</w:t>
      </w:r>
    </w:p>
    <w:sectPr>
      <w:pgSz w:w="12240" w:h="15840" w:orient="portrait"/>
      <w:pgMar w:top="400" w:right="620" w:bottom="40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2026-07-29T04:58:58.308Z</dcterms:created>
  <dcterms:modified xsi:type="dcterms:W3CDTF">2026-07-29T04:58:58.309Z</dcterms:modified>
</cp:coreProperties>
</file>

<file path=docProps/custom.xml><?xml version="1.0" encoding="utf-8"?>
<Properties xmlns="http://schemas.openxmlformats.org/officeDocument/2006/custom-properties" xmlns:vt="http://schemas.openxmlformats.org/officeDocument/2006/docPropsVTypes"/>
</file>