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1A2E"/>
          <w:sz w:val="56"/>
          <w:szCs w:val="56"/>
        </w:rPr>
        <w:t xml:space="preserve">Invariant Extended Kalman Filter</w:t>
      </w:r>
    </w:p>
    <w:p>
      <w:pPr>
        <w:spacing w:after="120" w:before="0"/>
        <w:jc w:val="center"/>
      </w:pPr>
      <w:r>
        <w:rPr>
          <w:rFonts w:ascii="Arial" w:cs="Arial" w:eastAsia="Arial" w:hAnsi="Arial"/>
          <w:b/>
          <w:bCs/>
          <w:color w:val="16213E"/>
          <w:sz w:val="40"/>
          <w:szCs w:val="40"/>
        </w:rPr>
        <w:t xml:space="preserve">as an Extension to MapFormer</w:t>
      </w:r>
    </w:p>
    <w:p>
      <w:pPr>
        <w:spacing w:after="200" w:before="0"/>
        <w:jc w:val="center"/>
      </w:pPr>
      <w:r>
        <w:rPr>
          <w:rFonts w:ascii="Arial" w:cs="Arial" w:eastAsia="Arial" w:hAnsi="Arial"/>
          <w:i/>
          <w:iCs/>
          <w:color w:val="5F5E5A"/>
          <w:sz w:val="24"/>
          <w:szCs w:val="24"/>
        </w:rPr>
        <w:t xml:space="preserve">A theoretical proposal for uncertainty-aware path integration</w:t>
      </w:r>
    </w:p>
    <w:p>
      <w:pPr>
        <w:pBdr>
          <w:bottom w:val="single" w:color="CCCCCC" w:sz="4" w:space="1"/>
        </w:pBdr>
        <w:spacing w:after="200" w:before="200"/>
      </w:pPr>
      <w:r>
        <w:t xml:space="preserve"/>
      </w:r>
    </w:p>
    <w:p>
      <w:pPr>
        <w:spacing w:after="60" w:before="60"/>
      </w:pPr>
      <w:r>
        <w:t xml:space="preserve"/>
      </w:r>
    </w:p>
    <w:p>
      <w:pPr>
        <w:spacing w:after="120" w:before="80"/>
      </w:pPr>
      <w:r>
        <w:rPr>
          <w:rFonts w:ascii="Arial" w:cs="Arial" w:eastAsia="Arial" w:hAnsi="Arial"/>
          <w:b/>
          <w:bCs/>
          <w:color w:val="1A1A2E"/>
          <w:sz w:val="24"/>
          <w:szCs w:val="24"/>
        </w:rPr>
        <w:t xml:space="preserve">Abstract</w:t>
      </w:r>
    </w:p>
    <w:p>
      <w:pPr>
        <w:spacing w:after="120" w:before="80"/>
      </w:pPr>
      <w:r>
        <w:rPr>
          <w:rFonts w:ascii="Arial" w:cs="Arial" w:eastAsia="Arial" w:hAnsi="Arial"/>
          <w:sz w:val="22"/>
          <w:szCs w:val="22"/>
        </w:rPr>
        <w:t xml:space="preserve">MapFormer (Rambaud et al., 2025) demonstrates that Transformer architectures augmented with Lie group path integration can learn cognitive maps and achieve near-perfect out-of-distribution generalisation on navigation tasks. However, the current architecture operates under idealised conditions: actions are noise-free, the environment is static, and there is no mechanism for external recalibration via landmarks. This writeup proposes an extension of MapFormer incorporating an Invariant Extended Kalman Filter (InEKF) layer, which maintains a probability distribution over the position state rather than a point estimate. We describe the theoretical motivation, the mathematical formulation, the neuroscientific basis, and the practical limitations of this proposal. We argue that the InEKF extension is theoretically well-grounded but empirically unvalidated, and identify the conditions under which it would provide meaningful benefit over both the base MapFormer architecture and alternative learned approaches.</w:t>
      </w:r>
    </w:p>
    <w:p>
      <w:pPr>
        <w:spacing w:after="60" w:before="60"/>
      </w:pPr>
      <w:r>
        <w:t xml:space="preserve"/>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1. Motivation</w:t>
      </w:r>
    </w:p>
    <w:p>
      <w:pPr>
        <w:pStyle w:val="Heading2"/>
        <w:spacing w:after="120" w:before="280"/>
      </w:pPr>
      <w:r>
        <w:rPr>
          <w:rFonts w:ascii="Arial" w:cs="Arial" w:eastAsia="Arial" w:hAnsi="Arial"/>
          <w:b/>
          <w:bCs/>
          <w:color w:val="16213E"/>
          <w:sz w:val="28"/>
          <w:szCs w:val="28"/>
        </w:rPr>
        <w:t xml:space="preserve">1.1 What MapFormer does</w:t>
      </w:r>
    </w:p>
    <w:p>
      <w:pPr>
        <w:spacing w:after="120" w:before="80"/>
      </w:pPr>
      <w:r>
        <w:rPr>
          <w:rFonts w:ascii="Arial" w:cs="Arial" w:eastAsia="Arial" w:hAnsi="Arial"/>
          <w:sz w:val="22"/>
          <w:szCs w:val="22"/>
        </w:rPr>
        <w:t xml:space="preserve">MapFormer computes a position state Pₜ as a cumulative product of action-dependent rotation matrices in SO(n):</w:t>
      </w:r>
    </w:p>
    <w:p>
      <w:pPr>
        <w:spacing w:after="60" w:before="60"/>
      </w:pPr>
      <w:r>
        <w:t xml:space="preserve"/>
      </w:r>
    </w:p>
    <w:p>
      <w:pPr>
        <w:spacing w:after="100" w:before="100"/>
        <w:ind w:left="720"/>
      </w:pPr>
      <w:r>
        <w:rPr>
          <w:rFonts w:ascii="Courier New" w:cs="Courier New" w:eastAsia="Courier New" w:hAnsi="Courier New"/>
          <w:color w:val="2C3E50"/>
          <w:sz w:val="20"/>
          <w:szCs w:val="20"/>
        </w:rPr>
        <w:t xml:space="preserve">Pₜ = Mₜ · Mₜ₋₁ · ... · M₁</w:t>
      </w:r>
    </w:p>
    <w:p>
      <w:pPr>
        <w:spacing w:after="100" w:before="100"/>
        <w:ind w:left="720"/>
      </w:pPr>
      <w:r>
        <w:rPr>
          <w:rFonts w:ascii="Courier New" w:cs="Courier New" w:eastAsia="Courier New" w:hAnsi="Courier New"/>
          <w:color w:val="2C3E50"/>
          <w:sz w:val="20"/>
          <w:szCs w:val="20"/>
        </w:rPr>
        <w:t xml:space="preserve">where Mₜ = exp(δₜ),  δₜ = LinearProjection(action_token_t)</w:t>
      </w:r>
    </w:p>
    <w:p>
      <w:pPr>
        <w:spacing w:after="60" w:before="60"/>
      </w:pPr>
      <w:r>
        <w:t xml:space="preserve"/>
      </w:r>
    </w:p>
    <w:p>
      <w:pPr>
        <w:spacing w:after="120" w:before="80"/>
      </w:pPr>
      <w:r>
        <w:rPr>
          <w:rFonts w:ascii="Arial" w:cs="Arial" w:eastAsia="Arial" w:hAnsi="Arial"/>
          <w:sz w:val="22"/>
          <w:szCs w:val="22"/>
        </w:rPr>
        <w:t xml:space="preserve">This is computed in parallel via a prefix scan in O(log T) steps, exploiting the associativity and closure of the Lie group. The position state is a point estimate — a single rotation matrix — with no representation of uncertainty about that estimate.</w:t>
      </w:r>
    </w:p>
    <w:p>
      <w:pPr>
        <w:pStyle w:val="Heading2"/>
        <w:spacing w:after="120" w:before="280"/>
      </w:pPr>
      <w:r>
        <w:rPr>
          <w:rFonts w:ascii="Arial" w:cs="Arial" w:eastAsia="Arial" w:hAnsi="Arial"/>
          <w:b/>
          <w:bCs/>
          <w:color w:val="16213E"/>
          <w:sz w:val="28"/>
          <w:szCs w:val="28"/>
        </w:rPr>
        <w:t xml:space="preserve">1.2 Where point estimation breaks down</w:t>
      </w:r>
    </w:p>
    <w:p>
      <w:pPr>
        <w:spacing w:after="120" w:before="80"/>
      </w:pPr>
      <w:r>
        <w:rPr>
          <w:rFonts w:ascii="Arial" w:cs="Arial" w:eastAsia="Arial" w:hAnsi="Arial"/>
          <w:sz w:val="22"/>
          <w:szCs w:val="22"/>
        </w:rPr>
        <w:t xml:space="preserve">The point estimate formulation is exact under three conditions that the paper's experiments satisfy but real-world deployment would not: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Condition</w:t>
            </w:r>
          </w:p>
        </w:tc>
        <w:tc>
          <w:tcPr>
            <w:tcW w:type="dxa" w:w="312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In the paper</w:t>
            </w:r>
          </w:p>
        </w:tc>
        <w:tc>
          <w:tcPr>
            <w:tcW w:type="dxa" w:w="312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In the real world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Action noise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Zero — discrete tokens exactly specify movement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Non-zero — motors slip, sensors drift, tokens are ambiguous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Environment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Static — structure never changes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Dynamic — obstacles move, layouts change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Landmarks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None — no external recalibration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Present — recognisable features that anchor position</w:t>
            </w:r>
          </w:p>
        </w:tc>
      </w:tr>
    </w:tbl>
    <w:p>
      <w:pPr>
        <w:spacing w:after="60" w:before="60"/>
      </w:pPr>
      <w:r>
        <w:t xml:space="preserve"/>
      </w:r>
    </w:p>
    <w:p>
      <w:pPr>
        <w:spacing w:after="120" w:before="80"/>
      </w:pPr>
      <w:r>
        <w:rPr>
          <w:rFonts w:ascii="Arial" w:cs="Arial" w:eastAsia="Arial" w:hAnsi="Arial"/>
          <w:sz w:val="22"/>
          <w:szCs w:val="22"/>
        </w:rPr>
        <w:t xml:space="preserve">When actions are noisy, each Mₜ = exp(δₜ + εₜ) where εₜ is a noise term. Errors do not cancel — they compound multiplicatively over the sequence. Over long trajectories, the position state Pₜ drifts away from the true position with no mechanism for correction. This is the classical dead reckoning drift problem, well-known in robotics and navigation.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4"/>
              <w:left w:val="single" w:color="7F77DD" w:sz="16"/>
              <w:bottom w:val="single" w:color="DDDDDD" w:sz="1"/>
              <w:right w:val="single" w:color="DDDDDD" w:sz="1"/>
            </w:tcBorders>
            <w:shd w:fill="F5F4FE" w:val="clear"/>
            <w:tcMar>
              <w:top w:type="dxa" w:w="80"/>
              <w:left w:type="dxa" w:w="120"/>
              <w:bottom w:type="dxa" w:w="80"/>
              <w:right w:type="dxa" w:w="120"/>
            </w:tcMar>
          </w:tcPr>
          <w:p>
            <w:r>
              <w:rPr>
                <w:rFonts w:ascii="Arial" w:cs="Arial" w:eastAsia="Arial" w:hAnsi="Arial"/>
                <w:b/>
                <w:bCs/>
                <w:color w:val="3C3489"/>
                <w:sz w:val="20"/>
                <w:szCs w:val="20"/>
              </w:rPr>
              <w:t xml:space="preserve">The core gap</w:t>
            </w:r>
          </w:p>
          <w:p>
            <w:pPr>
              <w:spacing w:before="60"/>
            </w:pPr>
            <w:r>
              <w:rPr>
                <w:rFonts w:ascii="Arial" w:cs="Arial" w:eastAsia="Arial" w:hAnsi="Arial"/>
                <w:color w:val="444441"/>
                <w:sz w:val="20"/>
                <w:szCs w:val="20"/>
              </w:rPr>
              <w:t xml:space="preserve">MapFormer can tell you where it thinks it is. It cannot tell you how confident it is in that estimate, how the confidence changes over time, or how to update the estimate when a landmark provides corrective information.</w:t>
            </w:r>
          </w:p>
        </w:tc>
      </w:tr>
    </w:tbl>
    <w:p>
      <w:pPr>
        <w:pStyle w:val="Heading2"/>
        <w:spacing w:after="120" w:before="280"/>
      </w:pPr>
      <w:r>
        <w:rPr>
          <w:rFonts w:ascii="Arial" w:cs="Arial" w:eastAsia="Arial" w:hAnsi="Arial"/>
          <w:b/>
          <w:bCs/>
          <w:color w:val="16213E"/>
          <w:sz w:val="28"/>
          <w:szCs w:val="28"/>
        </w:rPr>
        <w:t xml:space="preserve">1.3 Why the Invariant EKF is the natural extension</w:t>
      </w:r>
    </w:p>
    <w:p>
      <w:pPr>
        <w:spacing w:after="120" w:before="80"/>
      </w:pPr>
      <w:r>
        <w:rPr>
          <w:rFonts w:ascii="Arial" w:cs="Arial" w:eastAsia="Arial" w:hAnsi="Arial"/>
          <w:sz w:val="22"/>
          <w:szCs w:val="22"/>
        </w:rPr>
        <w:t xml:space="preserve">The Invariant Extended Kalman Filter (InEKF), developed by Barrau and Bonnabel (2017), is specifically designed for state estimation on Lie groups. Unlike a standard EKF which linearises around the current state and accumulates linearisation error, the InEKF exploits the symmetry of the Lie group to achieve state-independent error dynamics. This invariance property means:</w:t>
      </w:r>
    </w:p>
    <w:p>
      <w:pPr>
        <w:pStyle w:val="ListParagraph"/>
        <w:numPr>
          <w:ilvl w:val="0"/>
          <w:numId w:val="2"/>
        </w:numPr>
        <w:spacing w:after="60" w:before="60"/>
      </w:pPr>
      <w:r>
        <w:rPr>
          <w:rFonts w:ascii="Arial" w:cs="Arial" w:eastAsia="Arial" w:hAnsi="Arial"/>
          <w:sz w:val="22"/>
          <w:szCs w:val="22"/>
        </w:rPr>
        <w:t xml:space="preserve">The filter's uncertainty propagation is consistent regardless of the true trajectory</w:t>
      </w:r>
    </w:p>
    <w:p>
      <w:pPr>
        <w:pStyle w:val="ListParagraph"/>
        <w:numPr>
          <w:ilvl w:val="0"/>
          <w:numId w:val="2"/>
        </w:numPr>
        <w:spacing w:after="60" w:before="60"/>
      </w:pPr>
      <w:r>
        <w:rPr>
          <w:rFonts w:ascii="Arial" w:cs="Arial" w:eastAsia="Arial" w:hAnsi="Arial"/>
          <w:sz w:val="22"/>
          <w:szCs w:val="22"/>
        </w:rPr>
        <w:t xml:space="preserve">Linearisation errors are bounded rather than accumulating</w:t>
      </w:r>
    </w:p>
    <w:p>
      <w:pPr>
        <w:pStyle w:val="ListParagraph"/>
        <w:numPr>
          <w:ilvl w:val="0"/>
          <w:numId w:val="2"/>
        </w:numPr>
        <w:spacing w:after="60" w:before="60"/>
      </w:pPr>
      <w:r>
        <w:rPr>
          <w:rFonts w:ascii="Arial" w:cs="Arial" w:eastAsia="Arial" w:hAnsi="Arial"/>
          <w:sz w:val="22"/>
          <w:szCs w:val="22"/>
        </w:rPr>
        <w:t xml:space="preserve">The covariance update lives in the flat Lie algebra, making it computationally tractable</w:t>
      </w:r>
    </w:p>
    <w:p>
      <w:pPr>
        <w:spacing w:after="60" w:before="60"/>
      </w:pPr>
      <w:r>
        <w:t xml:space="preserve"/>
      </w:r>
    </w:p>
    <w:p>
      <w:pPr>
        <w:spacing w:after="120" w:before="80"/>
      </w:pPr>
      <w:r>
        <w:rPr>
          <w:rFonts w:ascii="Arial" w:cs="Arial" w:eastAsia="Arial" w:hAnsi="Arial"/>
          <w:sz w:val="22"/>
          <w:szCs w:val="22"/>
        </w:rPr>
        <w:t xml:space="preserve">Because MapFormer's position state already lives in SO(n) — a Lie group — the InEKF is not an arbitrary addition. It is the principled, mathematically correct way to add uncertainty tracking to the existing geometric framework.</w:t>
      </w:r>
    </w:p>
    <w:p>
      <w:pPr>
        <w:spacing w:after="60" w:before="60"/>
      </w:pPr>
      <w:r>
        <w:t xml:space="preserve"/>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2. Mathematical Formulation</w:t>
      </w:r>
    </w:p>
    <w:p>
      <w:pPr>
        <w:pStyle w:val="Heading2"/>
        <w:spacing w:after="120" w:before="280"/>
      </w:pPr>
      <w:r>
        <w:rPr>
          <w:rFonts w:ascii="Arial" w:cs="Arial" w:eastAsia="Arial" w:hAnsi="Arial"/>
          <w:b/>
          <w:bCs/>
          <w:color w:val="16213E"/>
          <w:sz w:val="28"/>
          <w:szCs w:val="28"/>
        </w:rPr>
        <w:t xml:space="preserve">2.1 State representation</w:t>
      </w:r>
    </w:p>
    <w:p>
      <w:pPr>
        <w:spacing w:after="120" w:before="80"/>
      </w:pPr>
      <w:r>
        <w:rPr>
          <w:rFonts w:ascii="Arial" w:cs="Arial" w:eastAsia="Arial" w:hAnsi="Arial"/>
          <w:sz w:val="22"/>
          <w:szCs w:val="22"/>
        </w:rPr>
        <w:t xml:space="preserve">The InEKF-MapFormer maintains two quantities at each timestep, rather than one:</w:t>
      </w:r>
    </w:p>
    <w:p>
      <w:pPr>
        <w:spacing w:after="60" w:before="60"/>
      </w:pPr>
      <w:r>
        <w:t xml:space="preserve"/>
      </w:r>
    </w:p>
    <w:p>
      <w:pPr>
        <w:spacing w:after="100" w:before="100"/>
        <w:ind w:left="720"/>
      </w:pPr>
      <w:r>
        <w:rPr>
          <w:rFonts w:ascii="Courier New" w:cs="Courier New" w:eastAsia="Courier New" w:hAnsi="Courier New"/>
          <w:color w:val="2C3E50"/>
          <w:sz w:val="20"/>
          <w:szCs w:val="20"/>
        </w:rPr>
        <w:t xml:space="preserve">μₜ  ∈ SO(n)     — mean position estimate (rotation matrix, on the manifold)</w:t>
      </w:r>
    </w:p>
    <w:p>
      <w:pPr>
        <w:spacing w:after="100" w:before="100"/>
        <w:ind w:left="720"/>
      </w:pPr>
      <w:r>
        <w:rPr>
          <w:rFonts w:ascii="Courier New" w:cs="Courier New" w:eastAsia="Courier New" w:hAnsi="Courier New"/>
          <w:color w:val="2C3E50"/>
          <w:sz w:val="20"/>
          <w:szCs w:val="20"/>
        </w:rPr>
        <w:t xml:space="preserve">Σₜ  ∈ ℝᵈˣᵈ    — covariance matrix (in the Lie algebra, flat space)</w:t>
      </w:r>
    </w:p>
    <w:p>
      <w:pPr>
        <w:spacing w:after="60" w:before="60"/>
      </w:pPr>
      <w:r>
        <w:t xml:space="preserve"/>
      </w:r>
    </w:p>
    <w:p>
      <w:pPr>
        <w:spacing w:after="120" w:before="80"/>
      </w:pPr>
      <w:r>
        <w:rPr>
          <w:rFonts w:ascii="Arial" w:cs="Arial" w:eastAsia="Arial" w:hAnsi="Arial"/>
          <w:sz w:val="22"/>
          <w:szCs w:val="22"/>
        </w:rPr>
        <w:t xml:space="preserve">The mean μₜ is the same as MapFormer's Pₜ — a point on the SO(n) manifold. The covariance Σₜ lives in the tangent space at the identity (the Lie algebra), representing uncertainty as a Gaussian distribution in that flat space. The full distribution over position is then a Gaussian on the Lie algebra, mapped to the manifold via the exponential map.</w:t>
      </w:r>
    </w:p>
    <w:p>
      <w:pPr>
        <w:pStyle w:val="Heading2"/>
        <w:spacing w:after="120" w:before="280"/>
      </w:pPr>
      <w:r>
        <w:rPr>
          <w:rFonts w:ascii="Arial" w:cs="Arial" w:eastAsia="Arial" w:hAnsi="Arial"/>
          <w:b/>
          <w:bCs/>
          <w:color w:val="16213E"/>
          <w:sz w:val="28"/>
          <w:szCs w:val="28"/>
        </w:rPr>
        <w:t xml:space="preserve">2.2 The predict step</w:t>
      </w:r>
    </w:p>
    <w:p>
      <w:pPr>
        <w:spacing w:after="120" w:before="80"/>
      </w:pPr>
      <w:r>
        <w:rPr>
          <w:rFonts w:ascii="Arial" w:cs="Arial" w:eastAsia="Arial" w:hAnsi="Arial"/>
          <w:sz w:val="22"/>
          <w:szCs w:val="22"/>
        </w:rPr>
        <w:t xml:space="preserve">When an action token is processed, both the mean and covariance are updated. The mean update is identical to MapFormer's existing prefix scan:</w:t>
      </w:r>
    </w:p>
    <w:p>
      <w:pPr>
        <w:spacing w:after="60" w:before="60"/>
      </w:pPr>
      <w:r>
        <w:t xml:space="preserve"/>
      </w:r>
    </w:p>
    <w:p>
      <w:pPr>
        <w:spacing w:after="100" w:before="100"/>
        <w:ind w:left="720"/>
      </w:pPr>
      <w:r>
        <w:rPr>
          <w:rFonts w:ascii="Courier New" w:cs="Courier New" w:eastAsia="Courier New" w:hAnsi="Courier New"/>
          <w:color w:val="2C3E50"/>
          <w:sz w:val="20"/>
          <w:szCs w:val="20"/>
        </w:rPr>
        <w:t xml:space="preserve">μₜ = Mₜ · μₜ₋₁                         (compose action matrix onto mean)</w:t>
      </w:r>
    </w:p>
    <w:p>
      <w:pPr>
        <w:spacing w:after="60" w:before="60"/>
      </w:pPr>
      <w:r>
        <w:t xml:space="preserve"/>
      </w:r>
    </w:p>
    <w:p>
      <w:pPr>
        <w:spacing w:after="120" w:before="80"/>
      </w:pPr>
      <w:r>
        <w:rPr>
          <w:rFonts w:ascii="Arial" w:cs="Arial" w:eastAsia="Arial" w:hAnsi="Arial"/>
          <w:sz w:val="22"/>
          <w:szCs w:val="22"/>
        </w:rPr>
        <w:t xml:space="preserve">The covariance update propagates uncertainty forward. In the InEKF, this takes the form:</w:t>
      </w:r>
    </w:p>
    <w:p>
      <w:pPr>
        <w:spacing w:after="60" w:before="60"/>
      </w:pPr>
      <w:r>
        <w:t xml:space="preserve"/>
      </w:r>
    </w:p>
    <w:p>
      <w:pPr>
        <w:spacing w:after="100" w:before="100"/>
        <w:ind w:left="720"/>
      </w:pPr>
      <w:r>
        <w:rPr>
          <w:rFonts w:ascii="Courier New" w:cs="Courier New" w:eastAsia="Courier New" w:hAnsi="Courier New"/>
          <w:color w:val="2C3E50"/>
          <w:sz w:val="20"/>
          <w:szCs w:val="20"/>
        </w:rPr>
        <w:t xml:space="preserve">Σₜ = Fₜ · Σₜ₋₁ · Fₜᵀ + Qₜ</w:t>
      </w:r>
    </w:p>
    <w:p>
      <w:pPr>
        <w:spacing w:after="60" w:before="60"/>
      </w:pPr>
      <w:r>
        <w:t xml:space="preserve"/>
      </w:r>
    </w:p>
    <w:p>
      <w:pPr>
        <w:spacing w:after="120" w:before="80"/>
      </w:pPr>
      <w:r>
        <w:rPr>
          <w:rFonts w:ascii="Arial" w:cs="Arial" w:eastAsia="Arial" w:hAnsi="Arial"/>
          <w:sz w:val="22"/>
          <w:szCs w:val="22"/>
        </w:rPr>
        <w:t xml:space="preserve">where Fₜ is the Jacobian of the action at the current state (in the Lie algebra), and Qₜ is the process noise covariance — how much uncertainty the action adds. Because of the InEKF's invariance property, Fₜ is state-independent (it depends only on the action, not on μₜ), making this a linear recurrence in Σ with constant coefficients. This is critical for parallelisation, as discussed in Section 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4"/>
              <w:left w:val="single" w:color="7F77DD" w:sz="16"/>
              <w:bottom w:val="single" w:color="DDDDDD" w:sz="1"/>
              <w:right w:val="single" w:color="DDDDDD" w:sz="1"/>
            </w:tcBorders>
            <w:shd w:fill="F5F4FE" w:val="clear"/>
            <w:tcMar>
              <w:top w:type="dxa" w:w="80"/>
              <w:left w:type="dxa" w:w="120"/>
              <w:bottom w:type="dxa" w:w="80"/>
              <w:right w:type="dxa" w:w="120"/>
            </w:tcMar>
          </w:tcPr>
          <w:p>
            <w:r>
              <w:rPr>
                <w:rFonts w:ascii="Arial" w:cs="Arial" w:eastAsia="Arial" w:hAnsi="Arial"/>
                <w:b/>
                <w:bCs/>
                <w:color w:val="3C3489"/>
                <w:sz w:val="20"/>
                <w:szCs w:val="20"/>
              </w:rPr>
              <w:t xml:space="preserve">Key property — invariance</w:t>
            </w:r>
          </w:p>
          <w:p>
            <w:pPr>
              <w:spacing w:before="60"/>
            </w:pPr>
            <w:r>
              <w:rPr>
                <w:rFonts w:ascii="Arial" w:cs="Arial" w:eastAsia="Arial" w:hAnsi="Arial"/>
                <w:color w:val="444441"/>
                <w:sz w:val="20"/>
                <w:szCs w:val="20"/>
              </w:rPr>
              <w:t xml:space="preserve">A standard EKF requires re-linearising at every new state estimate, and linearisation errors accumulate. The InEKF's invariance means the error dynamics — how Σₜ evolves — are the same regardless of what μₜ is. This eliminates a major source of filter divergence and is what makes the extension principled rather than ad hoc.</w:t>
            </w:r>
          </w:p>
        </w:tc>
      </w:tr>
    </w:tbl>
    <w:p>
      <w:pPr>
        <w:pStyle w:val="Heading2"/>
        <w:spacing w:after="120" w:before="280"/>
      </w:pPr>
      <w:r>
        <w:rPr>
          <w:rFonts w:ascii="Arial" w:cs="Arial" w:eastAsia="Arial" w:hAnsi="Arial"/>
          <w:b/>
          <w:bCs/>
          <w:color w:val="16213E"/>
          <w:sz w:val="28"/>
          <w:szCs w:val="28"/>
        </w:rPr>
        <w:t xml:space="preserve">2.3 The update step</w:t>
      </w:r>
    </w:p>
    <w:p>
      <w:pPr>
        <w:spacing w:after="120" w:before="80"/>
      </w:pPr>
      <w:r>
        <w:rPr>
          <w:rFonts w:ascii="Arial" w:cs="Arial" w:eastAsia="Arial" w:hAnsi="Arial"/>
          <w:sz w:val="22"/>
          <w:szCs w:val="22"/>
        </w:rPr>
        <w:t xml:space="preserve">When the observation stream provides a recognisable landmark — a familiar location that can be identified from the content representation — the position estimate is corrected. The update equations are:</w:t>
      </w:r>
    </w:p>
    <w:p>
      <w:pPr>
        <w:spacing w:after="60" w:before="60"/>
      </w:pPr>
      <w:r>
        <w:t xml:space="preserve"/>
      </w:r>
    </w:p>
    <w:p>
      <w:pPr>
        <w:spacing w:after="100" w:before="100"/>
        <w:ind w:left="720"/>
      </w:pPr>
      <w:r>
        <w:rPr>
          <w:rFonts w:ascii="Courier New" w:cs="Courier New" w:eastAsia="Courier New" w:hAnsi="Courier New"/>
          <w:color w:val="2C3E50"/>
          <w:sz w:val="20"/>
          <w:szCs w:val="20"/>
        </w:rPr>
        <w:t xml:space="preserve">Innovation:    yₜ  = zₜ - H · log(μₜ)</w:t>
      </w:r>
    </w:p>
    <w:p>
      <w:pPr>
        <w:spacing w:after="100" w:before="100"/>
        <w:ind w:left="720"/>
      </w:pPr>
      <w:r>
        <w:rPr>
          <w:rFonts w:ascii="Courier New" w:cs="Courier New" w:eastAsia="Courier New" w:hAnsi="Courier New"/>
          <w:color w:val="2C3E50"/>
          <w:sz w:val="20"/>
          <w:szCs w:val="20"/>
        </w:rPr>
        <w:t xml:space="preserve"/>
      </w:r>
    </w:p>
    <w:p>
      <w:pPr>
        <w:spacing w:after="100" w:before="100"/>
        <w:ind w:left="720"/>
      </w:pPr>
      <w:r>
        <w:rPr>
          <w:rFonts w:ascii="Courier New" w:cs="Courier New" w:eastAsia="Courier New" w:hAnsi="Courier New"/>
          <w:color w:val="2C3E50"/>
          <w:sz w:val="20"/>
          <w:szCs w:val="20"/>
        </w:rPr>
        <w:t xml:space="preserve">Kalman gain:   Kₜ  = Σₜ · Hᵀ · (H · Σₜ · Hᵀ + R)⁻¹</w:t>
      </w:r>
    </w:p>
    <w:p>
      <w:pPr>
        <w:spacing w:after="100" w:before="100"/>
        <w:ind w:left="720"/>
      </w:pPr>
      <w:r>
        <w:rPr>
          <w:rFonts w:ascii="Courier New" w:cs="Courier New" w:eastAsia="Courier New" w:hAnsi="Courier New"/>
          <w:color w:val="2C3E50"/>
          <w:sz w:val="20"/>
          <w:szCs w:val="20"/>
        </w:rPr>
        <w:t xml:space="preserve"/>
      </w:r>
    </w:p>
    <w:p>
      <w:pPr>
        <w:spacing w:after="100" w:before="100"/>
        <w:ind w:left="720"/>
      </w:pPr>
      <w:r>
        <w:rPr>
          <w:rFonts w:ascii="Courier New" w:cs="Courier New" w:eastAsia="Courier New" w:hAnsi="Courier New"/>
          <w:color w:val="2C3E50"/>
          <w:sz w:val="20"/>
          <w:szCs w:val="20"/>
        </w:rPr>
        <w:t xml:space="preserve">Mean update:   μₜ  = exp(Kₜ · yₜ) · μₜ      (correction in Lie algebra,</w:t>
      </w:r>
    </w:p>
    <w:p>
      <w:pPr>
        <w:spacing w:after="100" w:before="100"/>
        <w:ind w:left="720"/>
      </w:pPr>
      <w:r>
        <w:rPr>
          <w:rFonts w:ascii="Courier New" w:cs="Courier New" w:eastAsia="Courier New" w:hAnsi="Courier New"/>
          <w:color w:val="2C3E50"/>
          <w:sz w:val="20"/>
          <w:szCs w:val="20"/>
        </w:rPr>
        <w:t xml:space="preserve">                                               then mapped back to manifold)</w:t>
      </w:r>
    </w:p>
    <w:p>
      <w:pPr>
        <w:spacing w:after="100" w:before="100"/>
        <w:ind w:left="720"/>
      </w:pPr>
      <w:r>
        <w:rPr>
          <w:rFonts w:ascii="Courier New" w:cs="Courier New" w:eastAsia="Courier New" w:hAnsi="Courier New"/>
          <w:color w:val="2C3E50"/>
          <w:sz w:val="20"/>
          <w:szCs w:val="20"/>
        </w:rPr>
        <w:t xml:space="preserve"/>
      </w:r>
    </w:p>
    <w:p>
      <w:pPr>
        <w:spacing w:after="100" w:before="100"/>
        <w:ind w:left="720"/>
      </w:pPr>
      <w:r>
        <w:rPr>
          <w:rFonts w:ascii="Courier New" w:cs="Courier New" w:eastAsia="Courier New" w:hAnsi="Courier New"/>
          <w:color w:val="2C3E50"/>
          <w:sz w:val="20"/>
          <w:szCs w:val="20"/>
        </w:rPr>
        <w:t xml:space="preserve">Cov. update:   Σₜ  = (I - Kₜ · H) · Σₜ</w:t>
      </w:r>
    </w:p>
    <w:p>
      <w:pPr>
        <w:spacing w:after="60" w:before="60"/>
      </w:pPr>
      <w:r>
        <w:t xml:space="preserve"/>
      </w:r>
    </w:p>
    <w:p>
      <w:pPr>
        <w:spacing w:after="120" w:before="80"/>
      </w:pPr>
      <w:r>
        <w:rPr>
          <w:rFonts w:ascii="Arial" w:cs="Arial" w:eastAsia="Arial" w:hAnsi="Arial"/>
          <w:sz w:val="22"/>
          <w:szCs w:val="22"/>
        </w:rPr>
        <w:t xml:space="preserve">Here zₜ is the landmark observation (a position-like signal from the content stream), H is the observation model mapping position to expected observation, and R is the measurement noise covariance. The log() maps the current mean from SO(n) back to the Lie algebra for the innovation computation.</w:t>
      </w:r>
    </w:p>
    <w:p>
      <w:pPr>
        <w:pStyle w:val="Heading2"/>
        <w:spacing w:after="120" w:before="280"/>
      </w:pPr>
      <w:r>
        <w:rPr>
          <w:rFonts w:ascii="Arial" w:cs="Arial" w:eastAsia="Arial" w:hAnsi="Arial"/>
          <w:b/>
          <w:bCs/>
          <w:color w:val="16213E"/>
          <w:sz w:val="28"/>
          <w:szCs w:val="28"/>
        </w:rPr>
        <w:t xml:space="preserve">2.4 The Kalman gain as optimal weighting</w:t>
      </w:r>
    </w:p>
    <w:p>
      <w:pPr>
        <w:spacing w:after="120" w:before="80"/>
      </w:pPr>
      <w:r>
        <w:rPr>
          <w:rFonts w:ascii="Arial" w:cs="Arial" w:eastAsia="Arial" w:hAnsi="Arial"/>
          <w:sz w:val="22"/>
          <w:szCs w:val="22"/>
        </w:rPr>
        <w:t xml:space="preserve">The Kalman gain Kₜ automatically balances the two sources of information: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When to trust the path integration</w:t>
            </w:r>
          </w:p>
        </w:tc>
        <w:tc>
          <w:tcPr>
            <w:tcW w:type="dxa" w:w="468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When to trust the landmark</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Σₜ is small (low drift so far)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Σₜ is large (long noisy trajectory)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 is large (noisy landmark sensor)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 is small (precise landmark recognition)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Kₜ → 0: ignore the landmark</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Kₜ → H⁻¹: fully trust the landmark</w:t>
            </w:r>
          </w:p>
        </w:tc>
      </w:tr>
    </w:tbl>
    <w:p>
      <w:pPr>
        <w:spacing w:after="60" w:before="60"/>
      </w:pPr>
      <w:r>
        <w:t xml:space="preserve"/>
      </w:r>
    </w:p>
    <w:p>
      <w:pPr>
        <w:spacing w:after="120" w:before="80"/>
      </w:pPr>
      <w:r>
        <w:rPr>
          <w:rFonts w:ascii="Arial" w:cs="Arial" w:eastAsia="Arial" w:hAnsi="Arial"/>
          <w:sz w:val="22"/>
          <w:szCs w:val="22"/>
        </w:rPr>
        <w:t xml:space="preserve">This is provably the minimum variance estimator under Gaussian noise assumptions — no other linear combination of prediction and measurement achieves lower posterior uncertainty. The Kalman gain is not a hyperparameter to tune; it is derived from the current uncertainty state.</w:t>
      </w:r>
    </w:p>
    <w:p>
      <w:pPr>
        <w:spacing w:after="60" w:before="60"/>
      </w:pPr>
      <w:r>
        <w:t xml:space="preserve"/>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3. Neuroscientific Basis</w:t>
      </w:r>
    </w:p>
    <w:p>
      <w:pPr>
        <w:spacing w:after="120" w:before="80"/>
      </w:pPr>
      <w:r>
        <w:rPr>
          <w:rFonts w:ascii="Arial" w:cs="Arial" w:eastAsia="Arial" w:hAnsi="Arial"/>
          <w:sz w:val="22"/>
          <w:szCs w:val="22"/>
        </w:rPr>
        <w:t xml:space="preserve">The InEKF extension is not merely an engineering addition — it corresponds to distinct biological systems whose roles are well-established in systems neuroscience.</w:t>
      </w:r>
    </w:p>
    <w:p>
      <w:pPr>
        <w:pStyle w:val="Heading2"/>
        <w:spacing w:after="120" w:before="280"/>
      </w:pPr>
      <w:r>
        <w:rPr>
          <w:rFonts w:ascii="Arial" w:cs="Arial" w:eastAsia="Arial" w:hAnsi="Arial"/>
          <w:b/>
          <w:bCs/>
          <w:color w:val="16213E"/>
          <w:sz w:val="28"/>
          <w:szCs w:val="28"/>
        </w:rPr>
        <w:t xml:space="preserve">3.1 The predict step — entorhinal cortex</w:t>
      </w:r>
    </w:p>
    <w:p>
      <w:pPr>
        <w:spacing w:after="120" w:before="80"/>
      </w:pPr>
      <w:r>
        <w:rPr>
          <w:rFonts w:ascii="Arial" w:cs="Arial" w:eastAsia="Arial" w:hAnsi="Arial"/>
          <w:sz w:val="22"/>
          <w:szCs w:val="22"/>
        </w:rPr>
        <w:t xml:space="preserve">The entorhinal cortex, via grid cells, implements path integration from self-motion signals. This is the biological equivalent of MapFormer's prefix scan: continuous integration of velocity and direction signals to update the position estimate. The process noise Qₜ corresponds to the known imprecision of self-motion signals — why desert ants drift off course on long journeys and why humans navigating blindfolded accumulate position errors.</w:t>
      </w:r>
    </w:p>
    <w:p>
      <w:pPr>
        <w:pStyle w:val="Heading2"/>
        <w:spacing w:after="120" w:before="280"/>
      </w:pPr>
      <w:r>
        <w:rPr>
          <w:rFonts w:ascii="Arial" w:cs="Arial" w:eastAsia="Arial" w:hAnsi="Arial"/>
          <w:b/>
          <w:bCs/>
          <w:color w:val="16213E"/>
          <w:sz w:val="28"/>
          <w:szCs w:val="28"/>
        </w:rPr>
        <w:t xml:space="preserve">3.2 The update step — retrosplenial cortex and parahippocampal area</w:t>
      </w:r>
    </w:p>
    <w:p>
      <w:pPr>
        <w:spacing w:after="120" w:before="80"/>
      </w:pPr>
      <w:r>
        <w:rPr>
          <w:rFonts w:ascii="Arial" w:cs="Arial" w:eastAsia="Arial" w:hAnsi="Arial"/>
          <w:sz w:val="22"/>
          <w:szCs w:val="22"/>
        </w:rPr>
        <w:t xml:space="preserve">When a familiar landmark is recognised, the retrosplenial cortex and parahippocampal place area send corrective signals to the hippocampus, pulling the place cell activity toward the landmark-consistent position. This is the biological Kalman update. The strength of the correction depends on the animal's current uncertainty — O'Keefe and Speakman (1987) showed that place fields rotate more strongly in response to landmark rotation when the animal has been navigating in darkness (high Σₜ) than when it has been in a familiar well-lit environment (low Σₜ). This is precisely the Kalman gain dynamics.</w:t>
      </w:r>
    </w:p>
    <w:p>
      <w:pPr>
        <w:pStyle w:val="Heading2"/>
        <w:spacing w:after="120" w:before="280"/>
      </w:pPr>
      <w:r>
        <w:rPr>
          <w:rFonts w:ascii="Arial" w:cs="Arial" w:eastAsia="Arial" w:hAnsi="Arial"/>
          <w:b/>
          <w:bCs/>
          <w:color w:val="16213E"/>
          <w:sz w:val="28"/>
          <w:szCs w:val="28"/>
        </w:rPr>
        <w:t xml:space="preserve">3.3 Uncertainty tracking — prefrontal cortex and locus coeruleus</w:t>
      </w:r>
    </w:p>
    <w:p>
      <w:pPr>
        <w:spacing w:after="120" w:before="80"/>
      </w:pPr>
      <w:r>
        <w:rPr>
          <w:rFonts w:ascii="Arial" w:cs="Arial" w:eastAsia="Arial" w:hAnsi="Arial"/>
          <w:sz w:val="22"/>
          <w:szCs w:val="22"/>
        </w:rPr>
        <w:t xml:space="preserve">The prefrontal cortex is thought to track confidence and context, while the locus coeruleus signals surprise and uncertainty via noradrenaline. High locus coeruleus activity — triggered by large prediction errors — corresponds to a large innovation yₜ, which in the Kalman framework increases the effective weight given to the new observation. This is the neural implementation of Kₜ scaling with uncertainty.</w:t>
      </w:r>
    </w:p>
    <w:p>
      <w:pPr>
        <w:pStyle w:val="Heading2"/>
        <w:spacing w:after="120" w:before="280"/>
      </w:pPr>
      <w:r>
        <w:rPr>
          <w:rFonts w:ascii="Arial" w:cs="Arial" w:eastAsia="Arial" w:hAnsi="Arial"/>
          <w:b/>
          <w:bCs/>
          <w:color w:val="16213E"/>
          <w:sz w:val="28"/>
          <w:szCs w:val="28"/>
        </w:rPr>
        <w:t xml:space="preserve">3.4 The invariance property — allocentric representation</w:t>
      </w:r>
    </w:p>
    <w:p>
      <w:pPr>
        <w:spacing w:after="120" w:before="80"/>
      </w:pPr>
      <w:r>
        <w:rPr>
          <w:rFonts w:ascii="Arial" w:cs="Arial" w:eastAsia="Arial" w:hAnsi="Arial"/>
          <w:sz w:val="22"/>
          <w:szCs w:val="22"/>
        </w:rPr>
        <w:t xml:space="preserve">The InEKF's key property — that error dynamics are state-independent — corresponds to the allocentric nature of hippocampal representations. Place cells encode location in a world-centred frame regardless of the animal's heading. The cognitive map does not change depending on which direction you arrived from. This is the biological counterpart of the Lie group symmetry that makes the InEKF's linearisation error constant and bounded.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16"/>
              <w:bottom w:val="single" w:color="DDDDDD" w:sz="1"/>
              <w:right w:val="single" w:color="DDDDDD" w:sz="1"/>
            </w:tcBorders>
            <w:shd w:fill="E8F8F0" w:val="clear"/>
            <w:tcMar>
              <w:top w:type="dxa" w:w="80"/>
              <w:left w:type="dxa" w:w="120"/>
              <w:bottom w:type="dxa" w:w="80"/>
              <w:right w:type="dxa" w:w="120"/>
            </w:tcMar>
          </w:tcPr>
          <w:p>
            <w:r>
              <w:rPr>
                <w:rFonts w:ascii="Arial" w:cs="Arial" w:eastAsia="Arial" w:hAnsi="Arial"/>
                <w:b/>
                <w:bCs/>
                <w:color w:val="085041"/>
                <w:sz w:val="20"/>
                <w:szCs w:val="20"/>
              </w:rPr>
              <w:t xml:space="preserve">Summary of the biological correspondence</w:t>
            </w:r>
          </w:p>
          <w:p>
            <w:pPr>
              <w:spacing w:before="60"/>
            </w:pPr>
            <w:r>
              <w:rPr>
                <w:rFonts w:ascii="Arial" w:cs="Arial" w:eastAsia="Arial" w:hAnsi="Arial"/>
                <w:color w:val="444441"/>
                <w:sz w:val="20"/>
                <w:szCs w:val="20"/>
              </w:rPr>
              <w:t xml:space="preserve">Entorhinal grid cells → predict step (path integration, process noise Qₜ). Retrosplenial / parahippocampal → update step (landmark anchoring, measurement noise R). Hippocampal place cells → mean estimate μₜ. Prefrontal cortex / locus coeruleus → covariance Σₜ and Kalman gain Kₜ. Allocentric representation → InEKF invariance property.</w:t>
            </w:r>
          </w:p>
        </w:tc>
      </w:tr>
    </w:tbl>
    <w:p>
      <w:pPr>
        <w:spacing w:after="60" w:before="60"/>
      </w:pPr>
      <w:r>
        <w:t xml:space="preserve"/>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4. Parallelisation</w:t>
      </w:r>
    </w:p>
    <w:p>
      <w:pPr>
        <w:spacing w:after="120" w:before="80"/>
      </w:pPr>
      <w:r>
        <w:rPr>
          <w:rFonts w:ascii="Arial" w:cs="Arial" w:eastAsia="Arial" w:hAnsi="Arial"/>
          <w:sz w:val="22"/>
          <w:szCs w:val="22"/>
        </w:rPr>
        <w:t xml:space="preserve">A natural concern is whether adding the InEKF breaks MapFormer's parallel prefix scan. The answer depends on which part of the filter is being computed.</w:t>
      </w:r>
    </w:p>
    <w:p>
      <w:pPr>
        <w:pStyle w:val="Heading2"/>
        <w:spacing w:after="120" w:before="280"/>
      </w:pPr>
      <w:r>
        <w:rPr>
          <w:rFonts w:ascii="Arial" w:cs="Arial" w:eastAsia="Arial" w:hAnsi="Arial"/>
          <w:b/>
          <w:bCs/>
          <w:color w:val="16213E"/>
          <w:sz w:val="28"/>
          <w:szCs w:val="28"/>
        </w:rPr>
        <w:t xml:space="preserve">4.1 The covariance predict step is parallelisable</w:t>
      </w:r>
    </w:p>
    <w:p>
      <w:pPr>
        <w:spacing w:after="120" w:before="80"/>
      </w:pPr>
      <w:r>
        <w:rPr>
          <w:rFonts w:ascii="Arial" w:cs="Arial" w:eastAsia="Arial" w:hAnsi="Arial"/>
          <w:sz w:val="22"/>
          <w:szCs w:val="22"/>
        </w:rPr>
        <w:t xml:space="preserve">Because the InEKF's error dynamics are state-independent (the invariance property), the covariance recurrence has constant coefficients:</w:t>
      </w:r>
    </w:p>
    <w:p>
      <w:pPr>
        <w:spacing w:after="60" w:before="60"/>
      </w:pPr>
      <w:r>
        <w:t xml:space="preserve"/>
      </w:r>
    </w:p>
    <w:p>
      <w:pPr>
        <w:spacing w:after="100" w:before="100"/>
        <w:ind w:left="720"/>
      </w:pPr>
      <w:r>
        <w:rPr>
          <w:rFonts w:ascii="Courier New" w:cs="Courier New" w:eastAsia="Courier New" w:hAnsi="Courier New"/>
          <w:color w:val="2C3E50"/>
          <w:sz w:val="20"/>
          <w:szCs w:val="20"/>
        </w:rPr>
        <w:t xml:space="preserve">Σₜ = F · Σₜ₋₁ · Fᵀ + Q       (F constant, not state-dependent)</w:t>
      </w:r>
    </w:p>
    <w:p>
      <w:pPr>
        <w:spacing w:after="60" w:before="60"/>
      </w:pPr>
      <w:r>
        <w:t xml:space="preserve"/>
      </w:r>
    </w:p>
    <w:p>
      <w:pPr>
        <w:spacing w:after="120" w:before="80"/>
      </w:pPr>
      <w:r>
        <w:rPr>
          <w:rFonts w:ascii="Arial" w:cs="Arial" w:eastAsia="Arial" w:hAnsi="Arial"/>
          <w:sz w:val="22"/>
          <w:szCs w:val="22"/>
        </w:rPr>
        <w:t xml:space="preserve">This is a linear recurrence with constant coefficients — exactly the form that can be parallelised via a prefix scan. The same tree-reduction algorithm used for the position prefix scan applies here, giving O(log T) covariance propagation alongside O(log T) position propagation. The mean and covariance predict steps can be computed simultaneously.</w:t>
      </w:r>
    </w:p>
    <w:p>
      <w:pPr>
        <w:pStyle w:val="Heading2"/>
        <w:spacing w:after="120" w:before="280"/>
      </w:pPr>
      <w:r>
        <w:rPr>
          <w:rFonts w:ascii="Arial" w:cs="Arial" w:eastAsia="Arial" w:hAnsi="Arial"/>
          <w:b/>
          <w:bCs/>
          <w:color w:val="16213E"/>
          <w:sz w:val="28"/>
          <w:szCs w:val="28"/>
        </w:rPr>
        <w:t xml:space="preserve">4.2 The update step is conditionally sequential</w:t>
      </w:r>
    </w:p>
    <w:p>
      <w:pPr>
        <w:spacing w:after="120" w:before="80"/>
      </w:pPr>
      <w:r>
        <w:rPr>
          <w:rFonts w:ascii="Arial" w:cs="Arial" w:eastAsia="Arial" w:hAnsi="Arial"/>
          <w:sz w:val="22"/>
          <w:szCs w:val="22"/>
        </w:rPr>
        <w:t xml:space="preserve">The update step — when a landmark observation arrives — genuinely depends on the current Σₜ and therefore cannot be fully parallelised. However, landmark observations are sparse in practice. Between landmark encounters, the system runs in pure predict mode, which is fully parallel. The overall complexity becomes:</w:t>
      </w:r>
    </w:p>
    <w:p>
      <w:pPr>
        <w:spacing w:after="60" w:before="60"/>
      </w:pPr>
      <w:r>
        <w:t xml:space="preserve"/>
      </w:r>
    </w:p>
    <w:p>
      <w:pPr>
        <w:spacing w:after="100" w:before="100"/>
        <w:ind w:left="720"/>
      </w:pPr>
      <w:r>
        <w:rPr>
          <w:rFonts w:ascii="Courier New" w:cs="Courier New" w:eastAsia="Courier New" w:hAnsi="Courier New"/>
          <w:color w:val="2C3E50"/>
          <w:sz w:val="20"/>
          <w:szCs w:val="20"/>
        </w:rPr>
        <w:t xml:space="preserve">O(L · log(T/L))</w:t>
      </w:r>
    </w:p>
    <w:p>
      <w:pPr>
        <w:spacing w:after="60" w:before="60"/>
      </w:pPr>
      <w:r>
        <w:t xml:space="preserve"/>
      </w:r>
    </w:p>
    <w:p>
      <w:pPr>
        <w:spacing w:after="120" w:before="80"/>
      </w:pPr>
      <w:r>
        <w:rPr>
          <w:rFonts w:ascii="Arial" w:cs="Arial" w:eastAsia="Arial" w:hAnsi="Arial"/>
          <w:sz w:val="22"/>
          <w:szCs w:val="22"/>
        </w:rPr>
        <w:t xml:space="preserve">where T is the sequence length and L is the number of landmark observations. When L &lt;&lt; T — which is typical in navigation — this is substantially faster than O(T) sequential processing, and approaches O(log T) as landmarks become sparse.</w:t>
      </w:r>
    </w:p>
    <w:p>
      <w:pPr>
        <w:pStyle w:val="Heading2"/>
        <w:spacing w:after="120" w:before="280"/>
      </w:pPr>
      <w:r>
        <w:rPr>
          <w:rFonts w:ascii="Arial" w:cs="Arial" w:eastAsia="Arial" w:hAnsi="Arial"/>
          <w:b/>
          <w:bCs/>
          <w:color w:val="16213E"/>
          <w:sz w:val="28"/>
          <w:szCs w:val="28"/>
        </w:rPr>
        <w:t xml:space="preserve">4.3 Connection to Mamba</w:t>
      </w:r>
    </w:p>
    <w:p>
      <w:pPr>
        <w:spacing w:after="120" w:before="80"/>
      </w:pPr>
      <w:r>
        <w:rPr>
          <w:rFonts w:ascii="Arial" w:cs="Arial" w:eastAsia="Arial" w:hAnsi="Arial"/>
          <w:sz w:val="22"/>
          <w:szCs w:val="22"/>
        </w:rPr>
        <w:t xml:space="preserve">This parallelisation structure is related to why Mamba uses a parallel scan. Mamba can be viewed as a learned Kalman filter with diagonal state transition matrices — and its parallel scan is exactly the associative semiring scan applied to the SSM recurrence. The InEKF-MapFormer differs in using block-diagonal rotation matrices rather than diagonal scaling matrices, which is the geometrically correct structure for path integration but was unavailable to Mamba due to its efficiency constraints.</w:t>
      </w:r>
    </w:p>
    <w:p>
      <w:pPr>
        <w:spacing w:after="60" w:before="60"/>
      </w:pPr>
      <w:r>
        <w:t xml:space="preserve"/>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5. Practical Limitations and Honest Assessment</w:t>
      </w:r>
    </w:p>
    <w:p>
      <w:pPr>
        <w:pStyle w:val="Heading2"/>
        <w:spacing w:after="120" w:before="280"/>
      </w:pPr>
      <w:r>
        <w:rPr>
          <w:rFonts w:ascii="Arial" w:cs="Arial" w:eastAsia="Arial" w:hAnsi="Arial"/>
          <w:b/>
          <w:bCs/>
          <w:color w:val="16213E"/>
          <w:sz w:val="28"/>
          <w:szCs w:val="28"/>
        </w:rPr>
        <w:t xml:space="preserve">5.1 Where the InEKF adds value</w:t>
      </w:r>
    </w:p>
    <w:p>
      <w:pPr>
        <w:spacing w:after="120" w:before="80"/>
      </w:pPr>
      <w:r>
        <w:rPr>
          <w:rFonts w:ascii="Arial" w:cs="Arial" w:eastAsia="Arial" w:hAnsi="Arial"/>
          <w:sz w:val="22"/>
          <w:szCs w:val="22"/>
        </w:rPr>
        <w:t xml:space="preserve">The InEKF extension provides meaningful benefit only when MapFormer's idealised assumptions are violated:</w:t>
      </w:r>
    </w:p>
    <w:p>
      <w:pPr>
        <w:pStyle w:val="ListParagraph"/>
        <w:numPr>
          <w:ilvl w:val="0"/>
          <w:numId w:val="2"/>
        </w:numPr>
        <w:spacing w:after="60" w:before="60"/>
      </w:pPr>
      <w:r>
        <w:rPr>
          <w:rFonts w:ascii="Arial" w:cs="Arial" w:eastAsia="Arial" w:hAnsi="Arial"/>
          <w:sz w:val="22"/>
          <w:szCs w:val="22"/>
        </w:rPr>
        <w:t xml:space="preserve">Noisy continuous actions — sensor noise causes Mₜ to be imprecise, errors compound over long sequences</w:t>
      </w:r>
    </w:p>
    <w:p>
      <w:pPr>
        <w:pStyle w:val="ListParagraph"/>
        <w:numPr>
          <w:ilvl w:val="0"/>
          <w:numId w:val="2"/>
        </w:numPr>
        <w:spacing w:after="60" w:before="60"/>
      </w:pPr>
      <w:r>
        <w:rPr>
          <w:rFonts w:ascii="Arial" w:cs="Arial" w:eastAsia="Arial" w:hAnsi="Arial"/>
          <w:sz w:val="22"/>
          <w:szCs w:val="22"/>
        </w:rPr>
        <w:t xml:space="preserve">Landmark-rich environments — external recalibration signals are available and should be exploited</w:t>
      </w:r>
    </w:p>
    <w:p>
      <w:pPr>
        <w:pStyle w:val="ListParagraph"/>
        <w:numPr>
          <w:ilvl w:val="0"/>
          <w:numId w:val="2"/>
        </w:numPr>
        <w:spacing w:after="60" w:before="60"/>
      </w:pPr>
      <w:r>
        <w:rPr>
          <w:rFonts w:ascii="Arial" w:cs="Arial" w:eastAsia="Arial" w:hAnsi="Arial"/>
          <w:sz w:val="22"/>
          <w:szCs w:val="22"/>
        </w:rPr>
        <w:t xml:space="preserve">Safety-critical applications — calibrated uncertainty is required for downstream decision-making</w:t>
      </w:r>
    </w:p>
    <w:p>
      <w:pPr>
        <w:pStyle w:val="ListParagraph"/>
        <w:numPr>
          <w:ilvl w:val="0"/>
          <w:numId w:val="2"/>
        </w:numPr>
        <w:spacing w:after="60" w:before="60"/>
      </w:pPr>
      <w:r>
        <w:rPr>
          <w:rFonts w:ascii="Arial" w:cs="Arial" w:eastAsia="Arial" w:hAnsi="Arial"/>
          <w:sz w:val="22"/>
          <w:szCs w:val="22"/>
        </w:rPr>
        <w:t xml:space="preserve">Sensor fusion — multiple noisy position signals need to be combined with principled weighting</w:t>
      </w:r>
    </w:p>
    <w:p>
      <w:pPr>
        <w:spacing w:after="60" w:before="60"/>
      </w:pPr>
      <w:r>
        <w:t xml:space="preserve"/>
      </w:r>
    </w:p>
    <w:p>
      <w:pPr>
        <w:spacing w:after="120" w:before="80"/>
      </w:pPr>
      <w:r>
        <w:rPr>
          <w:rFonts w:ascii="Arial" w:cs="Arial" w:eastAsia="Arial" w:hAnsi="Arial"/>
          <w:sz w:val="22"/>
          <w:szCs w:val="22"/>
        </w:rPr>
        <w:t xml:space="preserve">In MapFormer's experimental setting — discrete noise-free action tokens, static environments, no landmarks — the InEKF adds zero benefit. The position state is already exact and there is nothing to correct.</w:t>
      </w:r>
    </w:p>
    <w:p>
      <w:pPr>
        <w:pStyle w:val="Heading2"/>
        <w:spacing w:after="120" w:before="280"/>
      </w:pPr>
      <w:r>
        <w:rPr>
          <w:rFonts w:ascii="Arial" w:cs="Arial" w:eastAsia="Arial" w:hAnsi="Arial"/>
          <w:b/>
          <w:bCs/>
          <w:color w:val="16213E"/>
          <w:sz w:val="28"/>
          <w:szCs w:val="28"/>
        </w:rPr>
        <w:t xml:space="preserve">5.2 Where the InEKF assumptions break down</w:t>
      </w:r>
    </w:p>
    <w:p>
      <w:pPr>
        <w:spacing w:after="120" w:before="80"/>
      </w:pPr>
      <w:r>
        <w:rPr>
          <w:rFonts w:ascii="Arial" w:cs="Arial" w:eastAsia="Arial" w:hAnsi="Arial"/>
          <w:sz w:val="22"/>
          <w:szCs w:val="22"/>
        </w:rPr>
        <w:t xml:space="preserve">The InEKF inherits the standard Kalman filter's assumptions, which are violated in realistic settings:</w:t>
      </w:r>
    </w:p>
    <w:p>
      <w:pPr>
        <w:pStyle w:val="ListParagraph"/>
        <w:numPr>
          <w:ilvl w:val="0"/>
          <w:numId w:val="2"/>
        </w:numPr>
        <w:spacing w:after="60" w:before="60"/>
      </w:pPr>
      <w:r>
        <w:rPr>
          <w:rFonts w:ascii="Arial" w:cs="Arial" w:eastAsia="Arial" w:hAnsi="Arial"/>
          <w:sz w:val="22"/>
          <w:szCs w:val="22"/>
        </w:rPr>
        <w:t xml:space="preserve">Gaussian noise assumption — real sensor noise is often heavy-tailed, non-Gaussian, or bimodal</w:t>
      </w:r>
    </w:p>
    <w:p>
      <w:pPr>
        <w:pStyle w:val="ListParagraph"/>
        <w:numPr>
          <w:ilvl w:val="0"/>
          <w:numId w:val="2"/>
        </w:numPr>
        <w:spacing w:after="60" w:before="60"/>
      </w:pPr>
      <w:r>
        <w:rPr>
          <w:rFonts w:ascii="Arial" w:cs="Arial" w:eastAsia="Arial" w:hAnsi="Arial"/>
          <w:sz w:val="22"/>
          <w:szCs w:val="22"/>
        </w:rPr>
        <w:t xml:space="preserve">Known noise covariances — Q and R must be specified or learned; misspecification degrades performance</w:t>
      </w:r>
    </w:p>
    <w:p>
      <w:pPr>
        <w:pStyle w:val="ListParagraph"/>
        <w:numPr>
          <w:ilvl w:val="0"/>
          <w:numId w:val="2"/>
        </w:numPr>
        <w:spacing w:after="60" w:before="60"/>
      </w:pPr>
      <w:r>
        <w:rPr>
          <w:rFonts w:ascii="Arial" w:cs="Arial" w:eastAsia="Arial" w:hAnsi="Arial"/>
          <w:sz w:val="22"/>
          <w:szCs w:val="22"/>
        </w:rPr>
        <w:t xml:space="preserve">Linear observation model — landmark recognition is highly nonlinear; the linearisation in the update step may be a poor approximation</w:t>
      </w:r>
    </w:p>
    <w:p>
      <w:pPr>
        <w:pStyle w:val="ListParagraph"/>
        <w:numPr>
          <w:ilvl w:val="0"/>
          <w:numId w:val="2"/>
        </w:numPr>
        <w:spacing w:after="60" w:before="60"/>
      </w:pPr>
      <w:r>
        <w:rPr>
          <w:rFonts w:ascii="Arial" w:cs="Arial" w:eastAsia="Arial" w:hAnsi="Arial"/>
          <w:sz w:val="22"/>
          <w:szCs w:val="22"/>
        </w:rPr>
        <w:t xml:space="preserve">Single hypothesis — the filter maintains one Gaussian; it cannot represent multimodal uncertainty (the animal is in one of two possible locations)</w:t>
      </w:r>
    </w:p>
    <w:p>
      <w:pPr>
        <w:pStyle w:val="Heading2"/>
        <w:spacing w:after="120" w:before="280"/>
      </w:pPr>
      <w:r>
        <w:rPr>
          <w:rFonts w:ascii="Arial" w:cs="Arial" w:eastAsia="Arial" w:hAnsi="Arial"/>
          <w:b/>
          <w:bCs/>
          <w:color w:val="16213E"/>
          <w:sz w:val="28"/>
          <w:szCs w:val="28"/>
        </w:rPr>
        <w:t xml:space="preserve">5.3 Comparison with learned alternatives</w:t>
      </w:r>
    </w:p>
    <w:p>
      <w:pPr>
        <w:spacing w:after="120" w:before="80"/>
      </w:pPr>
      <w:r>
        <w:rPr>
          <w:rFonts w:ascii="Arial" w:cs="Arial" w:eastAsia="Arial" w:hAnsi="Arial"/>
          <w:sz w:val="22"/>
          <w:szCs w:val="22"/>
        </w:rPr>
        <w:t xml:space="preserve">In genuinely messy real-world settings, the InEKF-MapFormer competes with learned end-to-end approaches (MAmPa, Transformers trained on noisy data) that make no Gaussianity assumptions. The tradeoffs 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Property</w:t>
            </w:r>
          </w:p>
        </w:tc>
        <w:tc>
          <w:tcPr>
            <w:tcW w:type="dxa" w:w="312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InEKF-MapFormer</w:t>
            </w:r>
          </w:p>
        </w:tc>
        <w:tc>
          <w:tcPr>
            <w:tcW w:type="dxa" w:w="312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Learned end-to-end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Noise assumption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Gaussian (may be violated)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None (adapts to data distribution)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Calibrated uncertainty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Yes — explicit covariance Σₜ</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 — implicit, uncalibrated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Sample efficiency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High — strong inductive bias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Low — must learn from data</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OOD noise generalisation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Poor if Q, R misspecified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Poor if noise distribution shifts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Graceful degradation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Yes — Σₜ grows, signals uncertainty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 — silently produces wrong estimates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Interpretability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High — uncertainty has clear meaning</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Low — uncertainty implicit in activations</w:t>
            </w:r>
          </w:p>
        </w:tc>
      </w:tr>
    </w:tbl>
    <w:p>
      <w:pPr>
        <w:pStyle w:val="Heading2"/>
        <w:spacing w:after="120" w:before="280"/>
      </w:pPr>
      <w:r>
        <w:rPr>
          <w:rFonts w:ascii="Arial" w:cs="Arial" w:eastAsia="Arial" w:hAnsi="Arial"/>
          <w:b/>
          <w:bCs/>
          <w:color w:val="16213E"/>
          <w:sz w:val="28"/>
          <w:szCs w:val="28"/>
        </w:rPr>
        <w:t xml:space="preserve">5.4 Overall assessment</w:t>
      </w:r>
    </w:p>
    <w:p>
      <w:pPr>
        <w:spacing w:after="120" w:before="80"/>
      </w:pPr>
      <w:r>
        <w:rPr>
          <w:rFonts w:ascii="Arial" w:cs="Arial" w:eastAsia="Arial" w:hAnsi="Arial"/>
          <w:sz w:val="22"/>
          <w:szCs w:val="22"/>
        </w:rPr>
        <w:t xml:space="preserve">The InEKF-MapFormer is a theoretically principled proposal with solid grounding in both Lie group geometry and systems neuroscience. It is the correct mathematical framework for extending MapFormer to noisy, landmark-rich environments. However, it is an unvalidated research proposal — not a demonstrated system. Whether it empirically outperforms learned alternatives in realistic settings is an open question that requires experimental evaluation.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16"/>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The bottom line</w:t>
            </w:r>
          </w:p>
          <w:p>
            <w:pPr>
              <w:spacing w:before="60"/>
            </w:pPr>
            <w:r>
              <w:rPr>
                <w:rFonts w:ascii="Arial" w:cs="Arial" w:eastAsia="Arial" w:hAnsi="Arial"/>
                <w:color w:val="444441"/>
                <w:sz w:val="20"/>
                <w:szCs w:val="20"/>
              </w:rPr>
              <w:t xml:space="preserve">InEKF-MapFormer is theoretically elegant and neurobiologically motivated. It solves a real limitation of the base architecture. Whether it is practically better than simpler alternatives in messy real-world settings remains empirically unknown, and the Gaussianity assumptions it inherits are its most significant vulnerability.</w:t>
            </w:r>
          </w:p>
        </w:tc>
      </w:tr>
    </w:tbl>
    <w:p>
      <w:pPr>
        <w:spacing w:after="60" w:before="60"/>
      </w:pPr>
      <w:r>
        <w:t xml:space="preserve"/>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6. Proposed Architecture</w:t>
      </w:r>
    </w:p>
    <w:p>
      <w:pPr>
        <w:spacing w:after="120" w:before="80"/>
      </w:pPr>
      <w:r>
        <w:rPr>
          <w:rFonts w:ascii="Arial" w:cs="Arial" w:eastAsia="Arial" w:hAnsi="Arial"/>
          <w:sz w:val="22"/>
          <w:szCs w:val="22"/>
        </w:rPr>
        <w:t xml:space="preserve">The full InEKF-MapFormer system operates as follows. MapFormer's existing machinery is unchanged — the action projection, exponential map, and parallel prefix scan all remain. The InEKF layer runs alongside, in parallel, and only intervenes at landmark observation points.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Step</w:t>
            </w:r>
          </w:p>
        </w:tc>
        <w:tc>
          <w:tcPr>
            <w:tcW w:type="dxa" w:w="312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Component</w:t>
            </w:r>
          </w:p>
        </w:tc>
        <w:tc>
          <w:tcPr>
            <w:tcW w:type="dxa" w:w="312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Operation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Action projection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aₜ → δₜ ∈ so(n) via linear layer</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Exponential map</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Mₜ = exp(δₜ) ∈ SO(n)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Position prefix scan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μₜ = Mₜ · μₜ₋₁  (parallel, O(log 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Covariance predict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Σₜ = F·Σₜ₋₁·Fᵀ + Q  (parallel, O(log 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Content attention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Standard attention over observation tokens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6</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Landmark detection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Content stream checks for familiar locations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7</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Kalman update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If landmark: correct μₜ and reduce Σₜ  (sequential)</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8</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Attention scoring</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Structure + content contribute to attention scores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9</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Prediction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Next observation predicted from fused representation</w:t>
            </w:r>
          </w:p>
        </w:tc>
      </w:tr>
    </w:tbl>
    <w:p>
      <w:pPr>
        <w:spacing w:after="60" w:before="60"/>
      </w:pPr>
      <w:r>
        <w:t xml:space="preserve"/>
      </w:r>
    </w:p>
    <w:p>
      <w:pPr>
        <w:spacing w:after="120" w:before="80"/>
      </w:pPr>
      <w:r>
        <w:rPr>
          <w:rFonts w:ascii="Arial" w:cs="Arial" w:eastAsia="Arial" w:hAnsi="Arial"/>
          <w:sz w:val="22"/>
          <w:szCs w:val="22"/>
        </w:rPr>
        <w:t xml:space="preserve">Steps 3 and 4 run in parallel with each other and with step 5, so the predict phase adds no sequential bottleneck. Step 7 is the only sequential operation, and it triggers only when the content stream identifies a landmark — which is rare relative to the sequence length.</w:t>
      </w:r>
    </w:p>
    <w:p>
      <w:pPr>
        <w:spacing w:after="60" w:before="60"/>
      </w:pPr>
      <w:r>
        <w:t xml:space="preserve"/>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7. Key References</w:t>
      </w:r>
    </w:p>
    <w:p>
      <w:pPr>
        <w:spacing w:after="120" w:before="80"/>
      </w:pPr>
      <w:r>
        <w:rPr>
          <w:rFonts w:ascii="Arial" w:cs="Arial" w:eastAsia="Arial" w:hAnsi="Arial"/>
          <w:sz w:val="22"/>
          <w:szCs w:val="22"/>
        </w:rPr>
        <w:t xml:space="preserve">Rambaud, V., Mascarenhas, S., &amp; Lakretz, Y. (2025). MapFormer: Self-Supervised Learning of Cognitive Maps with Input-Dependent Positional Embeddings. arXiv:2511.19279.</w:t>
      </w:r>
    </w:p>
    <w:p>
      <w:pPr>
        <w:spacing w:after="60" w:before="60"/>
      </w:pPr>
      <w:r>
        <w:t xml:space="preserve"/>
      </w:r>
    </w:p>
    <w:p>
      <w:pPr>
        <w:spacing w:after="120" w:before="80"/>
      </w:pPr>
      <w:r>
        <w:rPr>
          <w:rFonts w:ascii="Arial" w:cs="Arial" w:eastAsia="Arial" w:hAnsi="Arial"/>
          <w:sz w:val="22"/>
          <w:szCs w:val="22"/>
        </w:rPr>
        <w:t xml:space="preserve">Barrau, A., &amp; Bonnabel, S. (2017). The Invariant Extended Kalman Filter as a Stable Observer. IEEE Transactions on Automatic Control, 62(4), 1797-1812.</w:t>
      </w:r>
    </w:p>
    <w:p>
      <w:pPr>
        <w:spacing w:after="60" w:before="60"/>
      </w:pPr>
      <w:r>
        <w:t xml:space="preserve"/>
      </w:r>
    </w:p>
    <w:p>
      <w:pPr>
        <w:spacing w:after="120" w:before="80"/>
      </w:pPr>
      <w:r>
        <w:rPr>
          <w:rFonts w:ascii="Arial" w:cs="Arial" w:eastAsia="Arial" w:hAnsi="Arial"/>
          <w:sz w:val="22"/>
          <w:szCs w:val="22"/>
        </w:rPr>
        <w:t xml:space="preserve">Whittington, J.C.R., et al. (2019). The Tolman-Eichenbaum Machine: Unifying Space and Relational Memory through Generalisation in the Hippocampal Formation. Cell, 183(5).</w:t>
      </w:r>
    </w:p>
    <w:p>
      <w:pPr>
        <w:spacing w:after="60" w:before="60"/>
      </w:pPr>
      <w:r>
        <w:t xml:space="preserve"/>
      </w:r>
    </w:p>
    <w:p>
      <w:pPr>
        <w:spacing w:after="120" w:before="80"/>
      </w:pPr>
      <w:r>
        <w:rPr>
          <w:rFonts w:ascii="Arial" w:cs="Arial" w:eastAsia="Arial" w:hAnsi="Arial"/>
          <w:sz w:val="22"/>
          <w:szCs w:val="22"/>
        </w:rPr>
        <w:t xml:space="preserve">O'Keefe, J., &amp; Speakman, A. (1987). Single unit activity in the rat hippocampus during a spatial memory task. Experimental Brain Research, 68(1), 1-27.</w:t>
      </w:r>
    </w:p>
    <w:p>
      <w:pPr>
        <w:spacing w:after="60" w:before="60"/>
      </w:pPr>
      <w:r>
        <w:t xml:space="preserve"/>
      </w:r>
    </w:p>
    <w:p>
      <w:pPr>
        <w:spacing w:after="120" w:before="80"/>
      </w:pPr>
      <w:r>
        <w:rPr>
          <w:rFonts w:ascii="Arial" w:cs="Arial" w:eastAsia="Arial" w:hAnsi="Arial"/>
          <w:sz w:val="22"/>
          <w:szCs w:val="22"/>
        </w:rPr>
        <w:t xml:space="preserve">Hafting, T., et al. (2005). Microstructure of a spatial map in the entorhinal cortex. Nature, 436, 801-806.</w:t>
      </w:r>
    </w:p>
    <w:p>
      <w:pPr>
        <w:spacing w:after="60" w:before="60"/>
      </w:pPr>
      <w:r>
        <w:t xml:space="preserve"/>
      </w:r>
    </w:p>
    <w:p>
      <w:pPr>
        <w:spacing w:after="120" w:before="80"/>
      </w:pPr>
      <w:r>
        <w:rPr>
          <w:rFonts w:ascii="Arial" w:cs="Arial" w:eastAsia="Arial" w:hAnsi="Arial"/>
          <w:sz w:val="22"/>
          <w:szCs w:val="22"/>
        </w:rPr>
        <w:t xml:space="preserve">Smith, J., et al. (2023). Simplified State Space Layers for Sequence Modeling. ICLR 2023. (Parallel prefix scan for SSMs.)</w:t>
      </w:r>
    </w:p>
    <w:p>
      <w:pPr>
        <w:spacing w:after="60" w:before="60"/>
      </w:pPr>
      <w:r>
        <w:t xml:space="preserve"/>
      </w:r>
    </w:p>
    <w:p>
      <w:pPr>
        <w:spacing w:after="120" w:before="80"/>
      </w:pPr>
      <w:r>
        <w:rPr>
          <w:rFonts w:ascii="Arial" w:cs="Arial" w:eastAsia="Arial" w:hAnsi="Arial"/>
          <w:sz w:val="22"/>
          <w:szCs w:val="22"/>
        </w:rPr>
        <w:t xml:space="preserve">Sarkkä, S., &amp; García-Fernández, Á.F. (2021). Temporal Parallelisation of the Kalman Filter and Smoother. arXiv:1905.13002.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2026-04-10T01:11:41.710Z</dcterms:created>
  <dcterms:modified xsi:type="dcterms:W3CDTF">2026-04-10T01:11:41.711Z</dcterms:modified>
</cp:coreProperties>
</file>

<file path=docProps/custom.xml><?xml version="1.0" encoding="utf-8"?>
<Properties xmlns="http://schemas.openxmlformats.org/officeDocument/2006/custom-properties" xmlns:vt="http://schemas.openxmlformats.org/officeDocument/2006/docPropsVTypes"/>
</file>