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13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ten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four real randomised experiments</w:t>
      </w:r>
      <w:r>
        <w:rPr>
          <w:b w:val="false"/>
          <w:bCs w:val="false"/>
          <w:sz w:val="25"/>
          <w:szCs w:val="25"/>
        </w:rPr>
        <w:t xml:space="preserve"> — Hillstrom with 64,000 customers, Criteo with 14 million, Lenta with 687,000, and the Telco and GBSG2 datasets for survival — plus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5:41   ·   261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and this is the actual contribution,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w:t>
      </w:r>
      <w:r>
        <w:rPr>
          <w:b/>
          <w:bCs/>
          <w:sz w:val="25"/>
          <w:szCs w:val="25"/>
        </w:rPr>
        <w:t xml:space="preserve">0.603</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5:41 – 7:14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7:14 – 9:41   ·   321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is our main research contribution. Whether effect-based targeting pays is predicted by a single measurable quantity: the </w:t>
      </w:r>
      <w:r>
        <w:rPr>
          <w:b/>
          <w:bCs/>
          <w:sz w:val="25"/>
          <w:szCs w:val="25"/>
        </w:rPr>
        <w:t xml:space="preserve">correlation between the estimated effect and the estimated risk</w:t>
      </w:r>
      <w:r>
        <w:rPr>
          <w:b w:val="false"/>
          <w:bCs w:val="false"/>
          <w:sz w:val="25"/>
          <w:szCs w:val="25"/>
        </w:rPr>
        <w:t xml:space="preserve">. When it is high, the two rankings agree and the simpler model wins: at +0.69, uplift modelling is </w:t>
      </w:r>
      <w:r>
        <w:rPr>
          <w:b/>
          <w:bCs/>
          <w:sz w:val="25"/>
          <w:szCs w:val="25"/>
        </w:rPr>
        <w:t xml:space="preserve">5.6% worse</w:t>
      </w:r>
      <w:r>
        <w:rPr>
          <w:b w:val="false"/>
          <w:bCs w:val="false"/>
          <w:sz w:val="25"/>
          <w:szCs w:val="25"/>
        </w:rPr>
        <w:t xml:space="preserve">. As the correlation falls, the advantage rises: +12.7%, +20.3%, and at a negative correlation, </w:t>
      </w:r>
      <w:r>
        <w:rPr>
          <w:b/>
          <w:bCs/>
          <w:sz w:val="25"/>
          <w:szCs w:val="25"/>
        </w:rPr>
        <w:t xml:space="preserve">+106.9%</w:t>
      </w:r>
      <w:r>
        <w:rPr>
          <w:b w:val="false"/>
          <w:bCs w:val="false"/>
          <w:sz w:val="25"/>
          <w:szCs w:val="25"/>
        </w:rPr>
        <w:t xml:space="preserve">. Subscription retention is the adversarial case. We tested this out of sample: before obtaining the Lenta dataset we predicted where it would fall, and it landed there. The four cards are the honest summary. At 500 customers, the best method beats random on </w:t>
      </w:r>
      <w:r>
        <w:rPr>
          <w:b/>
          <w:bCs/>
          <w:sz w:val="25"/>
          <w:szCs w:val="25"/>
        </w:rPr>
        <w:t xml:space="preserve">75% of draws</w:t>
      </w:r>
      <w:r>
        <w:rPr>
          <w:b w:val="false"/>
          <w:bCs w:val="false"/>
          <w:sz w:val="25"/>
          <w:szCs w:val="25"/>
        </w:rPr>
        <w:t xml:space="preserve"> — a business gets one draw, so we report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without pausing for effect — the argument is the correlation, not the shock.</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9:41 – 11:17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467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11:17 – 12:51   ·   201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one measurable number tells you in advance whether causal targeting is worth it</w:t>
      </w:r>
      <w:r>
        <w:rPr>
          <w:b w:val="false"/>
          <w:bCs w:val="false"/>
          <w:sz w:val="25"/>
          <w:szCs w:val="25"/>
        </w:rPr>
        <w:t xml:space="preserve">, and we confirmed it on four real randomised trials.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0.603)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0.603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Causal criterion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corr(τ, π) across 5 settings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−5.6% → +106.9%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out-of-sample prediction landed</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467, 4 gates, 3.11–3.13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Correct, and I say so in the paper — that is prior work and I do not claim it. My contribution is the </w:t>
      </w:r>
      <w:r>
        <w:rPr>
          <w:b/>
          <w:bCs/>
        </w:rPr>
        <w:t xml:space="preserve">condition</w:t>
      </w:r>
      <w:r>
        <w:rPr>
          <w:b w:val="false"/>
          <w:bCs w:val="false"/>
        </w:rPr>
        <w:t xml:space="preserve">: whether effect-based targeting pays is predicted by corr(τ, π), the correlation between the estimated effect and the estimated risk. I measured it across four real randomised trials and one simulator, it orders them monotonically, and I used it to make an out-of-sample prediction about the Lenta dataset before I obtained the data, which landed. The second contribution is the measurement floor: a business needs about 119,500 customers to detect the effect these offers deliver.</w:t>
      </w:r>
    </w:p>
    <w:p>
      <w:pPr>
        <w:pStyle w:val="Heading3"/>
      </w:pPr>
      <w:r>
        <w:t xml:space="preserve">2.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3.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4.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5.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6. What is your dataset?</w:t>
      </w:r>
    </w:p>
    <w:p>
      <w:pPr>
        <w:spacing w:after="150"/>
      </w:pPr>
      <w:r>
        <w:rPr>
          <w:b w:val="false"/>
          <w:bCs w:val="false"/>
        </w:rPr>
        <w:t xml:space="preserve">Four real randomised trials — Hillstrom 64,000 customers, Criteo-UPLIFT 14 million, Lenta 687,000, plus Telco 7,043 and GBSG2 686 for survival — and SubSim, our own calibrated simulator. Only the simulator has individual ground-truth treatment effects, which is why it exists.</w:t>
      </w:r>
    </w:p>
    <w:p>
      <w:pPr>
        <w:pStyle w:val="Heading3"/>
      </w:pPr>
      <w:r>
        <w:t xml:space="preserve">7.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correlation criterion, which is the main contribution, is measured on </w:t>
      </w:r>
      <w:r>
        <w:rPr>
          <w:b/>
          <w:bCs/>
        </w:rPr>
        <w:t xml:space="preserve">real randomised experiments</w:t>
      </w:r>
      <w:r>
        <w:rPr>
          <w:b w:val="false"/>
          <w:bCs w:val="false"/>
        </w:rPr>
        <w:t xml:space="preserve">, not on the simulator.</w:t>
      </w:r>
    </w:p>
    <w:p>
      <w:pPr>
        <w:pStyle w:val="Heading3"/>
      </w:pPr>
      <w:r>
        <w:t xml:space="preserve">8. How much of this did you build yourself?</w:t>
      </w:r>
    </w:p>
    <w:p>
      <w:pPr>
        <w:spacing w:after="150"/>
      </w:pPr>
      <w:r>
        <w:rPr>
          <w:b w:val="false"/>
          <w:bCs w:val="false"/>
        </w:rPr>
        <w:t xml:space="preserve">The design, the experiments, the decisions and the verification are mine, and every one is logged with its reasoning in a decision log of 67 entries. I used AI-assisted programming tools for parts of the implementation, under my direction, and the paper declares that explicitly. Every number in the paper was reproduced from the released code before submission.</w:t>
      </w:r>
    </w:p>
    <w:p>
      <w:pPr>
        <w:pStyle w:val="Heading3"/>
      </w:pPr>
      <w:r>
        <w:t xml:space="preserve">9.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10.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0.603.</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Derive the correlation criterion analytically rather than only measuring it, and run a real pilot. The derivation is the single change that would most raise the paper's level.</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twenty. A method with a good mean that fails half the time is not usable. At n = 500 the best method beats random on 75% of draws; one standard estimator manages 55%.</w:t>
      </w:r>
    </w:p>
    <w:p>
      <w:pPr>
        <w:pStyle w:val="Heading3"/>
      </w:pPr>
      <w:r>
        <w:t xml:space="preserve">2.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3.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4.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5.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6.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7. Why did worse-than-random not replicate on the real datasets?</w:t>
      </w:r>
    </w:p>
    <w:p>
      <w:pPr>
        <w:spacing w:after="150"/>
      </w:pPr>
      <w:r>
        <w:rPr>
          <w:b w:val="false"/>
          <w:bCs w:val="false"/>
        </w:rPr>
        <w:t xml:space="preserve">Because those are advertising and retail promotions, where the effect and the risk correlate positively. The condition for harm is negative correlation, which is a property of subscription retention. That is the scoping, and it is why the correlation criterion is the contribution rather than the shock result.</w:t>
      </w:r>
    </w:p>
    <w:p>
      <w:pPr>
        <w:pStyle w:val="Heading3"/>
      </w:pPr>
      <w:r>
        <w:t xml:space="preserve">8.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9.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10.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467 automated tests across 22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about two and a half minutes.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open: the report formats every amount in rupees even for a dollar-denominated export, and when no invoice file is supplied it shows 0% involuntary churn and still advises fixing involuntary churn first — a zero that means “not measured”. Both are logged and both are being fixed separately.</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The correlation criterion is original, it is measured across five settings, and it made a correct out-of-sample prediction before the data was seen. The measurement floor result is original. The simulator with exact counterfactuals is released as a dataset because no public dataset provides it.</w:t>
      </w:r>
    </w:p>
    <w:p>
      <w:pPr>
        <w:pStyle w:val="Heading3"/>
      </w:pPr>
      <w:r>
        <w:t xml:space="preserve">5. How much of this did an AI write?</w:t>
      </w:r>
    </w:p>
    <w:p>
      <w:pPr>
        <w:spacing w:after="150"/>
      </w:pPr>
      <w:r>
        <w:rPr>
          <w:b w:val="false"/>
          <w:bCs w:val="false"/>
        </w:rPr>
        <w:t xml:space="preserve">AI tools assisted with implementation under my direction, and the paper declares it. What is mine is the problem framing, the experimental design, every decision in a 67-entry log, the pre-registrations, and finding my own units error. I can walk you through any file or any decision and explain why it is that way.</w:t>
      </w:r>
    </w:p>
    <w:p>
      <w:pPr>
        <w:pStyle w:val="Heading3"/>
      </w:pPr>
      <w:r>
        <w:t xml:space="preserve">6. Why should we accept simulated results at all?</w:t>
      </w:r>
    </w:p>
    <w:p>
      <w:pPr>
        <w:spacing w:after="150"/>
      </w:pPr>
      <w:r>
        <w:rPr>
          <w:b w:val="false"/>
          <w:bCs w:val="false"/>
        </w:rPr>
        <w:t xml:space="preserve">You should not accept them alone, and I do not ask you to. The central claim is measured on four real randomised trials. The simulator is only used where real data cannot help: nowhere on earth is there a dataset that contains both outcomes for the same customer.</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0.603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Correlation criterion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Hillstrom men +0.69 → −5.6% · Criteo +0.58 → +0.6% · Hillstrom women +0.19 → +12.7% · Lenta +0.17 → +20.3% · SubSim −0.19 → +106.9%.</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 of draws beat random at n = 500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0.603 honest against 0.954 leaked.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467 tests, 22 files · 4 CI gates · Python 3.11–3.13 · 67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the correlation table comes out as a story, not a list.</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2026-09-16T01:46:26.574Z</dcterms:created>
  <dcterms:modified xsi:type="dcterms:W3CDTF">2026-09-16T01:46:26.574Z</dcterms:modified>
</cp:coreProperties>
</file>

<file path=docProps/custom.xml><?xml version="1.0" encoding="utf-8"?>
<Properties xmlns="http://schemas.openxmlformats.org/officeDocument/2006/custom-properties" xmlns:vt="http://schemas.openxmlformats.org/officeDocument/2006/docPropsVTypes"/>
</file>