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14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few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three public randomised experiments</w:t>
      </w:r>
      <w:r>
        <w:rPr>
          <w:b w:val="false"/>
          <w:bCs w:val="false"/>
          <w:sz w:val="25"/>
          <w:szCs w:val="25"/>
        </w:rPr>
        <w:t xml:space="preserve"> — Hillstrom with 64,000 customers, Criteo with 14 million and Lenta with 687,000 — the Telco and GBSG2 datasets for survival, and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5:53   ·   287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Deciding on expected profit is established practice, from Lemmens and Gupta in 2020. What we add is a test of whether such a rule holds up on a few hundred customers.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about </w:t>
      </w:r>
      <w:r>
        <w:rPr>
          <w:b/>
          <w:bCs/>
          <w:sz w:val="25"/>
          <w:szCs w:val="25"/>
        </w:rPr>
        <w:t xml:space="preserve">0.60</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5:53 – 7:26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7:26 – 10:16   ·   373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simulated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asks when effect-based targeting is worth the trouble. It uses the </w:t>
      </w:r>
      <w:r>
        <w:rPr>
          <w:b/>
          <w:bCs/>
          <w:sz w:val="25"/>
          <w:szCs w:val="25"/>
        </w:rPr>
        <w:t xml:space="preserve">correlation between the effect of an offer and the customer's risk</w:t>
      </w:r>
      <w:r>
        <w:rPr>
          <w:b w:val="false"/>
          <w:bCs w:val="false"/>
          <w:sz w:val="25"/>
          <w:szCs w:val="25"/>
        </w:rPr>
        <w:t xml:space="preserve">. That quantity is not our idea: Ascarza studied it in a simulation in 2018. What we did is </w:t>
      </w:r>
      <w:r>
        <w:rPr>
          <w:b/>
          <w:bCs/>
          <w:sz w:val="25"/>
          <w:szCs w:val="25"/>
        </w:rPr>
        <w:t xml:space="preserve">measure it on public experiments</w:t>
      </w:r>
      <w:r>
        <w:rPr>
          <w:b w:val="false"/>
          <w:bCs w:val="false"/>
          <w:sz w:val="25"/>
          <w:szCs w:val="25"/>
        </w:rPr>
        <w:t xml:space="preserve">. When it is high, the two rankings agree and the simpler model wins: at +0.69, uplift modelling is </w:t>
      </w:r>
      <w:r>
        <w:rPr>
          <w:b/>
          <w:bCs/>
          <w:sz w:val="25"/>
          <w:szCs w:val="25"/>
        </w:rPr>
        <w:t xml:space="preserve">5.6% worse</w:t>
      </w:r>
      <w:r>
        <w:rPr>
          <w:b w:val="false"/>
          <w:bCs w:val="false"/>
          <w:sz w:val="25"/>
          <w:szCs w:val="25"/>
        </w:rPr>
        <w:t xml:space="preserve">. At lower correlations it does better, +12.7% and +20.3%, though those four rows are within noise of one another. Before obtaining the Lenta dataset we predicted where it would fall, and it landed there. The last row, </w:t>
      </w:r>
      <w:r>
        <w:rPr>
          <w:b/>
          <w:bCs/>
          <w:sz w:val="25"/>
          <w:szCs w:val="25"/>
        </w:rPr>
        <w:t xml:space="preserve">+106.9%</w:t>
      </w:r>
      <w:r>
        <w:rPr>
          <w:b w:val="false"/>
          <w:bCs w:val="false"/>
          <w:sz w:val="25"/>
          <w:szCs w:val="25"/>
        </w:rPr>
        <w:t xml:space="preserve">, is our simulator, and it is a different kind of number. The simulator is built to have a negative correlation, and that row uses its true effects, so it is a </w:t>
      </w:r>
      <w:r>
        <w:rPr>
          <w:b/>
          <w:bCs/>
          <w:sz w:val="25"/>
          <w:szCs w:val="25"/>
        </w:rPr>
        <w:t xml:space="preserve">ceiling</w:t>
      </w:r>
      <w:r>
        <w:rPr>
          <w:b w:val="false"/>
          <w:bCs w:val="false"/>
          <w:sz w:val="25"/>
          <w:szCs w:val="25"/>
        </w:rPr>
        <w:t xml:space="preserve">, not something we achieved. The four cards are the honest summary. At 500 customers, the best method beats random on </w:t>
      </w:r>
      <w:r>
        <w:rPr>
          <w:b/>
          <w:bCs/>
          <w:sz w:val="25"/>
          <w:szCs w:val="25"/>
        </w:rPr>
        <w:t xml:space="preserve">75% of draws</w:t>
      </w:r>
      <w:r>
        <w:rPr>
          <w:b w:val="false"/>
          <w:bCs w:val="false"/>
          <w:sz w:val="25"/>
          <w:szCs w:val="25"/>
        </w:rPr>
        <w:t xml:space="preserve"> — a business gets one draw, so we report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Say that the last row is the simulator's ceiling before anyone asks.</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10:16 – 11:52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487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11:52 – 13:31   ·   214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causal targeting does not always pay</w:t>
      </w:r>
      <w:r>
        <w:rPr>
          <w:b w:val="false"/>
          <w:bCs w:val="false"/>
          <w:sz w:val="25"/>
          <w:szCs w:val="25"/>
        </w:rPr>
        <w:t xml:space="preserve">: on public experiments where risk and responsiveness line up, a plain model did as well, and at 500 customers the best method beats random on three draws in four.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about 0.60)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Uplift's gain on 4 real settings; simulator ceiling</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−5.6% to +20.3%; ceiling +106.9%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Measured; prediction landed; idea is Ascarza's</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in the simulator: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487, 4 gates, 3.11–3.13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She showed more than that, and I claim none of it: that targeting by effect beats targeting by risk, that risk targeting raised churn in one of her two field experiments, and, in an appendix, that the correlation between risk and response explains when. Lemmens and Gupta added profit-based targeting in 2020. Three things are mine. First, small samples: she names pilot size as an open question, and on a real experiment I measured that at 500 customers the best method beats random on 75% of draws. Second, the measurement floor: a business needs about 119,500 customers to detect the effect these offers deliver. Third, I measured her correlation on three public experiments, found settings where an uplift model does no better than a plain one, and predicted where the Lenta dataset would fall before obtaining it.</w:t>
      </w:r>
    </w:p>
    <w:p>
      <w:pPr>
        <w:pStyle w:val="Heading3"/>
      </w:pPr>
      <w:r>
        <w:t xml:space="preserve">2. Which published work is closest to yours, and how do you differ?</w:t>
      </w:r>
    </w:p>
    <w:p>
      <w:pPr>
        <w:spacing w:after="150"/>
      </w:pPr>
      <w:r>
        <w:rPr>
          <w:b w:val="false"/>
          <w:bCs w:val="false"/>
        </w:rPr>
        <w:t xml:space="preserve">Four papers. </w:t>
      </w:r>
      <w:r>
        <w:rPr>
          <w:b/>
          <w:bCs/>
        </w:rPr>
        <w:t xml:space="preserve">Ascarza (2018)</w:t>
      </w:r>
      <w:r>
        <w:rPr>
          <w:b w:val="false"/>
          <w:bCs w:val="false"/>
        </w:rPr>
        <w:t xml:space="preserve">: two field experiments, 12,137 and 2,100 customers, with churn of 44% and 62%; targeting by effect beats targeting by risk. </w:t>
      </w:r>
      <w:r>
        <w:rPr>
          <w:b/>
          <w:bCs/>
        </w:rPr>
        <w:t xml:space="preserve">Ascarza, Iyengar and Schleicher (2016)</w:t>
      </w:r>
      <w:r>
        <w:rPr>
          <w:b w:val="false"/>
          <w:bCs w:val="false"/>
        </w:rPr>
        <w:t xml:space="preserve">: a retention call to 64,147 telecom customers raised churn from 6.4% to 10.0%. </w:t>
      </w:r>
      <w:r>
        <w:rPr>
          <w:b/>
          <w:bCs/>
        </w:rPr>
        <w:t xml:space="preserve">Lemmens and Gupta (2020)</w:t>
      </w:r>
      <w:r>
        <w:rPr>
          <w:b w:val="false"/>
          <w:bCs w:val="false"/>
        </w:rPr>
        <w:t xml:space="preserve">: target on expected profit and choose the campaign size on held-out data. </w:t>
      </w:r>
      <w:r>
        <w:rPr>
          <w:b/>
          <w:bCs/>
        </w:rPr>
        <w:t xml:space="preserve">Devriendt, Berrevoets and Verbeke (2021)</w:t>
      </w:r>
      <w:r>
        <w:rPr>
          <w:b w:val="false"/>
          <w:bCs w:val="false"/>
        </w:rPr>
        <w:t xml:space="preserve">: uplift against churn models on 200,903 bank customers. They work with thousands of customers and high churn or large effects. I ask what happens at a few hundred customers, 3% monthly churn and a one-point effect. One gap I state myself: Lemmens and Gupta's method is not yet a baseline in my experiments.</w:t>
      </w:r>
    </w:p>
    <w:p>
      <w:pPr>
        <w:pStyle w:val="Heading3"/>
      </w:pPr>
      <w:r>
        <w:t xml:space="preserve">3.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4.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5.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6.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7. What is your dataset?</w:t>
      </w:r>
    </w:p>
    <w:p>
      <w:pPr>
        <w:spacing w:after="150"/>
      </w:pPr>
      <w:r>
        <w:rPr>
          <w:b w:val="false"/>
          <w:bCs w:val="false"/>
        </w:rPr>
        <w:t xml:space="preserve">Three public randomised experiments — Hillstrom 64,000 customers, Criteo-UPLIFT 14 million, Lenta 687,000 — two public survival datasets, Telco 7,043 and GBSG2 686, and SubSim, our own calibrated simulator. Only the simulator has individual ground-truth treatment effects, which is why it exists.</w:t>
      </w:r>
    </w:p>
    <w:p>
      <w:pPr>
        <w:pStyle w:val="Heading3"/>
      </w:pPr>
      <w:r>
        <w:t xml:space="preserve">8.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small-sample result, 75% at 500 customers, comes from a </w:t>
      </w:r>
      <w:r>
        <w:rPr>
          <w:b/>
          <w:bCs/>
        </w:rPr>
        <w:t xml:space="preserve">real randomised experiment</w:t>
      </w:r>
      <w:r>
        <w:rPr>
          <w:b w:val="false"/>
          <w:bCs w:val="false"/>
        </w:rPr>
        <w:t xml:space="preserve">, and so do four of the five rows in the correlation table. The fifth row is the simulator, and it is a ceiling.</w:t>
      </w:r>
    </w:p>
    <w:p>
      <w:pPr>
        <w:pStyle w:val="Heading3"/>
      </w:pPr>
      <w:r>
        <w:t xml:space="preserve">9. How much of this did you build yourself?</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10.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11.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about 0.60. One command proves it live: `python -m retainiq.experiments.leakage_penalty` prints 0.606 filtered correctly, 0.615 ignoring availability lag, and 0.954 with no filter.</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Read the prior work in full before building, which would have changed what I claimed. Then three things: add Lemmens and Gupta's method as a baseline, re-measure the correlation over many splits with an interval, and run a real pilot.</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twenty. A method with a good mean that fails half the time is not usable. At n = 500 the best method beats random on 75% of draws; one standard estimator manages 55%.</w:t>
      </w:r>
    </w:p>
    <w:p>
      <w:pPr>
        <w:pStyle w:val="Heading3"/>
      </w:pPr>
      <w:r>
        <w:t xml:space="preserve">2.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3.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4.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5.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6.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7. Why did worse-than-random not replicate on the real datasets?</w:t>
      </w:r>
    </w:p>
    <w:p>
      <w:pPr>
        <w:spacing w:after="150"/>
      </w:pPr>
      <w:r>
        <w:rPr>
          <w:b w:val="false"/>
          <w:bCs w:val="false"/>
        </w:rPr>
        <w:t xml:space="preserve">Because those are an email promotion, an advertising campaign and a retail promotion, where the effect and the propensity move together. Harm needs them to pull apart. In my simulator that is built in. For real subscription businesses the evidence is other people's: Ascarza's 2018 experiment, where targeting the riskiest customers raised churn, and the 2016 telecom experiment, where a retention call raised churn from 6.4% to 10.0%. I have no retention experiment of my own, and I say so.</w:t>
      </w:r>
    </w:p>
    <w:p>
      <w:pPr>
        <w:pStyle w:val="Heading3"/>
      </w:pPr>
      <w:r>
        <w:t xml:space="preserve">8. Your last row is +106.9% and the others are under 21%. Is that real?</w:t>
      </w:r>
    </w:p>
    <w:p>
      <w:pPr>
        <w:spacing w:after="150"/>
      </w:pPr>
      <w:r>
        <w:rPr>
          <w:b w:val="false"/>
          <w:bCs w:val="false"/>
        </w:rPr>
        <w:t xml:space="preserve">It is real for the simulator and it is not comparable with the rows above it. Those four compare two fitted models on a real experiment. The simulator row compares an oracle, which knows each customer's true effect, with a churn score, on a simulator I configured to have a negative correlation. So it is the most that could be gained there, not what a fitted model gains. The figure in the repository draws it as a hollow point for that reason. A like-for-like simulator row is one of the checks I still owe.</w:t>
      </w:r>
    </w:p>
    <w:p>
      <w:pPr>
        <w:pStyle w:val="Heading3"/>
      </w:pPr>
      <w:r>
        <w:t xml:space="preserve">9.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10.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11.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487 automated tests across 23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about two and a half minutes.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open: the report formats every amount in rupees even for a dollar-denominated export, and when no invoice file is supplied it shows 0% involuntary churn and still advises fixing involuntary churn first — a zero that means “not measured”. Both are logged and both are being fixed separately.</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Three things are original. The small-sample result: on a real experiment, at 500 customers the best method beats random on 75% of draws, and pilot size is a question the literature leaves open. The measurement floor: about 119,500 customers to detect the delivered effect. And the simulator with exact counterfactuals, released as a dataset because no public dataset provides one. The correlation itself is Ascarza's. I measured it; I did not invent it.</w:t>
      </w:r>
    </w:p>
    <w:p>
      <w:pPr>
        <w:pStyle w:val="Heading3"/>
      </w:pPr>
      <w:r>
        <w:t xml:space="preserve">5. How much of this did an AI write?</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6. Why should we accept simulated results at all?</w:t>
      </w:r>
    </w:p>
    <w:p>
      <w:pPr>
        <w:spacing w:after="150"/>
      </w:pPr>
      <w:r>
        <w:rPr>
          <w:b w:val="false"/>
          <w:bCs w:val="false"/>
        </w:rPr>
        <w:t xml:space="preserve">You should not accept them alone, and I do not ask you to. The small-sample result and four of the five correlation rows come from three public randomised experiments. The simulator is used where real data cannot help: no dataset contains both outcomes for the same customer. Anything that rests on the simulator alone, including the worse-than-random result, I label as simulated.</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about 0.60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Fitted models, one split, within noise of each other: Hillstrom men +0.69 → −5.6% · Criteo +0.58 → +0.6% · Hillstrom women +0.19 → +12.7% · Lenta +0.17 → +20.3%. Simulator, oracle on true effects, a ceiling: SubSim −0.19 → +106.9%.</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Prior work</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Ascarza 2018: 12,137 and 2,100 customers; at 40% targeted, risk targeting raised churn 4.4 points in one study; appendix simulates the correlation. Ascarza, Iyengar &amp; Schleicher 2016: 64,147 customers, churn 6.4% → 10.0%. Lemmens &amp; Gupta 2020: profit-based targeting. Devriendt et al. 2021: 200,903 bank customers.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75% of draws beat random at n = 500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≈0.60 honest against 0.954 leaked (the paper reports 0.603 for its configuration).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487 tests, 23 files · 4 CI gates · Python 3.11–3.13 · 68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you can say, without looking, which rows of the correlation table are real experiments and which is the simulator's ceiling.</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2026-10-05T05:53:28.524Z</dcterms:created>
  <dcterms:modified xsi:type="dcterms:W3CDTF">2026-10-05T05:53:28.525Z</dcterms:modified>
</cp:coreProperties>
</file>

<file path=docProps/custom.xml><?xml version="1.0" encoding="utf-8"?>
<Properties xmlns="http://schemas.openxmlformats.org/officeDocument/2006/custom-properties" xmlns:vt="http://schemas.openxmlformats.org/officeDocument/2006/docPropsVTypes"/>
</file>