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6"/>
          <w:szCs w:val="56"/>
        </w:rPr>
        <w:t xml:space="preserve">RetainIQ — Demo Video</w:t>
      </w:r>
    </w:p>
    <w:p>
      <w:pPr>
        <w:spacing w:after="120"/>
      </w:pPr>
      <w:r>
        <w:rPr>
          <w:rFonts w:ascii="Cambria" w:cs="Cambria" w:eastAsia="Cambria" w:hAnsi="Cambria"/>
          <w:color w:val="0B7A6B"/>
          <w:sz w:val="36"/>
          <w:szCs w:val="36"/>
        </w:rPr>
        <w:t xml:space="preserve">Production script and storyboard</w:t>
      </w:r>
    </w:p>
    <w:p>
      <w:pPr>
        <w:spacing w:after="240"/>
      </w:pPr>
      <w:r>
        <w:rPr>
          <w:color w:val="5F6F80"/>
          <w:sz w:val="23"/>
          <w:szCs w:val="23"/>
        </w:rPr>
        <w:t xml:space="preserve">A shooting guide for a working demonstration of the system, written for academic evaluators and technical reviewers who have not seen the code.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300"/>
        <w:gridCol w:w="1181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Item</w:t>
            </w:r>
          </w:p>
        </w:tc>
        <w:tc>
          <w:tcPr>
            <w:tcW w:type="dxa" w:w="11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Detail</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Project</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 causal retention decisioning for small subscription businesses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Presenter</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Prasham Jain (Reg. No. 2427030155) · Mentor: Dr. Rishi Gupta · Department of Computer Science and Engineering, Manipal University Jaipur</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Target runtime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 min 55 s across 10 scenes. Hard ceiling: 9 minutes.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Delivery format</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1920 × 1080, 30 fps, H.264 MP4 with AAC audio; SRT captions recommended</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File name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RetainIQ_Demo_PrashamJain_2427030155.mp4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Video link</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i/>
                <w:iCs/>
                <w:color w:val="C2410C"/>
              </w:rPr>
              <w:t xml:space="preserve">Paste the Google Drive link here after upload, and add the same link to slides 1 and 8 of the presentation.</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Source of every number</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Captured from the commands in this guide on 15–16 September 2026. Re-run them before recording. If a number on screen differs from the script, say the number on screen.</w:t>
            </w:r>
          </w:p>
        </w:tc>
      </w:tr>
    </w:tbl>
    <w:p>
      <w:pPr>
        <w:spacing w:after="100"/>
      </w:pPr>
      <w:r>
        <w:br w:type="page"/>
      </w:r>
    </w:p>
    <w:p>
      <w:pPr>
        <w:pStyle w:val="Heading1"/>
      </w:pPr>
      <w:r>
        <w:t xml:space="preserve">1. What the video must demonstrate</w:t>
      </w:r>
    </w:p>
    <w:p>
      <w:pPr>
        <w:pStyle w:val="ListParagraph"/>
        <w:numPr>
          <w:ilvl w:val="0"/>
          <w:numId w:val="2"/>
        </w:numPr>
        <w:spacing w:after="60"/>
      </w:pPr>
      <w:r>
        <w:rPr>
          <w:b/>
          <w:bCs/>
        </w:rPr>
        <w:t xml:space="preserve">The complete flow runs, </w:t>
      </w:r>
      <w:r>
        <w:t xml:space="preserve">from a raw billing export to a list of actions a business can take.</w:t>
      </w:r>
    </w:p>
    <w:p>
      <w:pPr>
        <w:pStyle w:val="ListParagraph"/>
        <w:numPr>
          <w:ilvl w:val="0"/>
          <w:numId w:val="2"/>
        </w:numPr>
        <w:spacing w:after="60"/>
      </w:pPr>
      <w:r>
        <w:rPr>
          <w:b/>
          <w:bCs/>
        </w:rPr>
        <w:t xml:space="preserve">It refuses unsafe input: </w:t>
      </w:r>
      <w:r>
        <w:t xml:space="preserve">a file in the wrong units is blocked, not silently converted.</w:t>
      </w:r>
    </w:p>
    <w:p>
      <w:pPr>
        <w:pStyle w:val="ListParagraph"/>
        <w:numPr>
          <w:ilvl w:val="0"/>
          <w:numId w:val="2"/>
        </w:numPr>
        <w:spacing w:after="60"/>
      </w:pPr>
      <w:r>
        <w:rPr>
          <w:b/>
          <w:bCs/>
        </w:rPr>
        <w:t xml:space="preserve">Recommendations carry money, confidence and reasons, </w:t>
      </w:r>
      <w:r>
        <w:t xml:space="preserve">including customers deliberately left alone and a flagged low-confidence case.</w:t>
      </w:r>
    </w:p>
    <w:p>
      <w:pPr>
        <w:pStyle w:val="ListParagraph"/>
        <w:numPr>
          <w:ilvl w:val="0"/>
          <w:numId w:val="2"/>
        </w:numPr>
        <w:spacing w:after="60"/>
      </w:pPr>
      <w:r>
        <w:rPr>
          <w:b/>
          <w:bCs/>
        </w:rPr>
        <w:t xml:space="preserve">Results are measured honestly, </w:t>
      </w:r>
      <w:r>
        <w:t xml:space="preserve">including the limit on what a small business can measure.</w:t>
      </w:r>
    </w:p>
    <w:p>
      <w:pPr>
        <w:pStyle w:val="ListParagraph"/>
        <w:numPr>
          <w:ilvl w:val="0"/>
          <w:numId w:val="2"/>
        </w:numPr>
        <w:spacing w:after="60"/>
      </w:pPr>
      <w:r>
        <w:rPr>
          <w:b/>
          <w:bCs/>
        </w:rPr>
        <w:t xml:space="preserve">Scope is stated precisely: </w:t>
      </w:r>
      <w:r>
        <w:t xml:space="preserve">the delivery path is ready; the decision engine is validated on simulated and public data, not yet on a real client.</w:t>
      </w:r>
    </w:p>
    <w:p>
      <w:pPr>
        <w:pStyle w:val="Heading1"/>
      </w:pPr>
      <w:r>
        <w:t xml:space="preserve">2. Pre-production</w:t>
      </w:r>
    </w:p>
    <w:p>
      <w:pPr>
        <w:pStyle w:val="Heading2"/>
      </w:pPr>
      <w:r>
        <w:t xml:space="preserve">2.1 Environment (macOS or Linux, Python 3.11 or later)</w:t>
      </w:r>
    </w:p>
    <w:p>
      <w:pPr>
        <w:shd w:fill="F2F5F8" w:color="auto" w:val="clear"/>
        <w:spacing w:after="0" w:before="60"/>
        <w:ind w:left="200" w:right="200"/>
      </w:pPr>
      <w:r>
        <w:rPr>
          <w:rFonts w:ascii="Courier New" w:cs="Courier New" w:eastAsia="Courier New" w:hAnsi="Courier New"/>
          <w:color w:val="12263A"/>
          <w:sz w:val="18"/>
          <w:szCs w:val="18"/>
        </w:rPr>
        <w:t xml:space="preserve">git clone https://github.com/PrashamJ17/PBL-Proj.git</w:t>
      </w:r>
    </w:p>
    <w:p>
      <w:pPr>
        <w:shd w:fill="F2F5F8" w:color="auto" w:val="clear"/>
        <w:spacing w:after="0" w:before="0"/>
        <w:ind w:left="200" w:right="200"/>
      </w:pPr>
      <w:r>
        <w:rPr>
          <w:rFonts w:ascii="Courier New" w:cs="Courier New" w:eastAsia="Courier New" w:hAnsi="Courier New"/>
          <w:color w:val="12263A"/>
          <w:sz w:val="18"/>
          <w:szCs w:val="18"/>
        </w:rPr>
        <w:t xml:space="preserve">cd PBL-Proj</w:t>
      </w:r>
    </w:p>
    <w:p>
      <w:pPr>
        <w:shd w:fill="F2F5F8" w:color="auto" w:val="clear"/>
        <w:spacing w:after="0" w:before="0"/>
        <w:ind w:left="200" w:right="200"/>
      </w:pPr>
      <w:r>
        <w:rPr>
          <w:rFonts w:ascii="Courier New" w:cs="Courier New" w:eastAsia="Courier New" w:hAnsi="Courier New"/>
          <w:color w:val="12263A"/>
          <w:sz w:val="18"/>
          <w:szCs w:val="18"/>
        </w:rPr>
        <w:t xml:space="preserve">python3 -m venv .venv &amp;&amp; source .venv/bin/activate</w:t>
      </w:r>
    </w:p>
    <w:p>
      <w:pPr>
        <w:shd w:fill="F2F5F8" w:color="auto" w:val="clear"/>
        <w:spacing w:after="0" w:before="0"/>
        <w:ind w:left="200" w:right="200"/>
      </w:pPr>
      <w:r>
        <w:rPr>
          <w:rFonts w:ascii="Courier New" w:cs="Courier New" w:eastAsia="Courier New" w:hAnsi="Courier New"/>
          <w:color w:val="12263A"/>
          <w:sz w:val="18"/>
          <w:szCs w:val="18"/>
        </w:rPr>
        <w:t xml:space="preserve">make install</w:t>
      </w:r>
    </w:p>
    <w:p>
      <w:pPr>
        <w:shd w:fill="F2F5F8" w:color="auto" w:val="clear"/>
        <w:spacing w:after="140" w:before="0"/>
        <w:ind w:left="200" w:right="200"/>
      </w:pPr>
      <w:r>
        <w:rPr>
          <w:rFonts w:ascii="Courier New" w:cs="Courier New" w:eastAsia="Courier New" w:hAnsi="Courier New"/>
          <w:color w:val="12263A"/>
          <w:sz w:val="18"/>
          <w:szCs w:val="18"/>
        </w:rPr>
        <w:t xml:space="preserve">make check        # expect: 467 passed, and RESULT: ALL TARGETS MET twice</w:t>
      </w:r>
    </w:p>
    <w:p>
      <w:pPr>
        <w:pStyle w:val="Heading2"/>
      </w:pPr>
      <w:r>
        <w:t xml:space="preserve">2.2 Generate every output once before recording</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5400"/>
        <w:gridCol w:w="5510"/>
      </w:tblGrid>
      <w:tr>
        <w:trPr>
          <w:cantSplit/>
          <w:tblHeader/>
        </w:trPr>
        <w:tc>
          <w:tcPr>
            <w:tcW w:type="dxa" w:w="4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Command</w:t>
            </w:r>
          </w:p>
        </w:tc>
        <w:tc>
          <w:tcPr>
            <w:tcW w:type="dxa" w:w="54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Writes or prints</w:t>
            </w:r>
          </w:p>
        </w:tc>
        <w:tc>
          <w:tcPr>
            <w:tcW w:type="dxa" w:w="5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Used in</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demo-data</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demo/customers.csv, demo/subscriptions.csv</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Scenes 3–5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killtest</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policy value table (AUC 0.700, −22,823)</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2</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sample</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sample_churn_autopsy.html and two sample worklists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dashboard</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retention_dashboard.html</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Scenes 6–7</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holdout</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estimator validation and minimum detectable effect tables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8</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check</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lint, 467 tests, calibration gates</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9 (pre-recorded)</w:t>
            </w:r>
          </w:p>
        </w:tc>
      </w:tr>
    </w:tbl>
    <w:p>
      <w:pPr>
        <w:pStyle w:val="Heading2"/>
      </w:pPr>
      <w:r>
        <w:t xml:space="preserve">2.3 Screen and audio</w:t>
      </w:r>
    </w:p>
    <w:p>
      <w:pPr>
        <w:pStyle w:val="ListParagraph"/>
        <w:numPr>
          <w:ilvl w:val="0"/>
          <w:numId w:val="2"/>
        </w:numPr>
        <w:spacing w:after="60"/>
      </w:pPr>
      <w:r>
        <w:t xml:space="preserve">Display at 1920 × 1080. Hide desktop icons, turn on Do Not Disturb, quit chat and mail apps.</w:t>
      </w:r>
    </w:p>
    <w:p>
      <w:pPr>
        <w:pStyle w:val="ListParagraph"/>
        <w:numPr>
          <w:ilvl w:val="0"/>
          <w:numId w:val="2"/>
        </w:numPr>
        <w:spacing w:after="60"/>
      </w:pPr>
      <w:r>
        <w:t xml:space="preserve">Terminal: dark theme, 20 pt monospace font or larger, window maximised, prompt shortened to “$ ”.</w:t>
      </w:r>
    </w:p>
    <w:p>
      <w:pPr>
        <w:pStyle w:val="ListParagraph"/>
        <w:numPr>
          <w:ilvl w:val="0"/>
          <w:numId w:val="2"/>
        </w:numPr>
        <w:spacing w:after="60"/>
      </w:pPr>
      <w:r>
        <w:t xml:space="preserve">Browser: zoom 125%, bookmarks bar hidden, one tab per page, dashboard pre-loaded.</w:t>
      </w:r>
    </w:p>
    <w:p>
      <w:pPr>
        <w:pStyle w:val="ListParagraph"/>
        <w:numPr>
          <w:ilvl w:val="0"/>
          <w:numId w:val="2"/>
        </w:numPr>
        <w:spacing w:after="60"/>
      </w:pPr>
      <w:r>
        <w:t xml:space="preserve">Record screen with QuickTime (File → New Screen Recording) or OBS at 30 fps.</w:t>
      </w:r>
    </w:p>
    <w:p>
      <w:pPr>
        <w:pStyle w:val="ListParagraph"/>
        <w:numPr>
          <w:ilvl w:val="0"/>
          <w:numId w:val="2"/>
        </w:numPr>
        <w:spacing w:after="60"/>
      </w:pPr>
      <w:r>
        <w:t xml:space="preserve">Record narration separately with an external or headset microphone in a quiet room, then lay it over the screen recording. Read the script at about 150 words per minute.</w:t>
      </w:r>
    </w:p>
    <w:p>
      <w:pPr>
        <w:pStyle w:val="Heading2"/>
      </w:pPr>
      <w:r>
        <w:t xml:space="preserve">2.4 Reset between takes</w:t>
      </w:r>
    </w:p>
    <w:p>
      <w:pPr>
        <w:shd w:fill="F2F5F8" w:color="auto" w:val="clear"/>
        <w:spacing w:after="140" w:before="60"/>
        <w:ind w:left="200" w:right="200"/>
      </w:pPr>
      <w:r>
        <w:rPr>
          <w:rFonts w:ascii="Courier New" w:cs="Courier New" w:eastAsia="Courier New" w:hAnsi="Courier New"/>
          <w:color w:val="12263A"/>
          <w:sz w:val="18"/>
          <w:szCs w:val="18"/>
        </w:rPr>
        <w:t xml:space="preserve">rm -rf demo &amp;&amp; make demo-data     # restores the raw export exactly (fixed seed)</w:t>
      </w:r>
    </w:p>
    <w:p>
      <w:pPr>
        <w:spacing w:after="100"/>
      </w:pPr>
      <w:r>
        <w:br w:type="page"/>
      </w:r>
    </w:p>
    <w:p>
      <w:pPr>
        <w:pStyle w:val="Heading1"/>
      </w:pPr>
      <w:r>
        <w:t xml:space="preserve">3. Run of show</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100"/>
        <w:gridCol w:w="1100"/>
        <w:gridCol w:w="1200"/>
        <w:gridCol w:w="5810"/>
      </w:tblGrid>
      <w:tr>
        <w:trPr>
          <w:cantSplit/>
          <w:tblHeader/>
        </w:trPr>
        <w:tc>
          <w:tcPr>
            <w:tcW w:type="dxa" w:w="7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t>
            </w:r>
          </w:p>
        </w:tc>
        <w:tc>
          <w:tcPr>
            <w:tcW w:type="dxa" w:w="5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Start</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End</w:t>
            </w:r>
          </w:p>
        </w:tc>
        <w:tc>
          <w:tcPr>
            <w:tcW w:type="dxa" w:w="1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Length</w:t>
            </w:r>
          </w:p>
        </w:tc>
        <w:tc>
          <w:tcPr>
            <w:tcW w:type="dxa" w:w="5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proves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Cold open: the wrong question</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0:00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0:40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problem is a decision, not a prediction</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founding experiment: a good model that loses money</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0:40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1:25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 sound churn model can still lose money</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input: a Stripe-shaped billing export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1:25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2:00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35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system starts from real-world input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Preflight: refusing a file that would mislead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2:00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Unsafe input is refused (edge cases)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Units confirmed: the Churn Autopsy report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Input becomes a readable, ranked report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From diagnosis to decisions: the dashboard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4:05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5:10</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Recommendations include abstention and a reliability warning</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Explaining a recommendation, and flagging a weak one</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5:10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6:10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Every recommendation is explained; weak ones are flagged</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Did it work? The measurement floor</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6:10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Measurement is honest about its limits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Quality and reproducibility</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7:25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Results are tested and reproducible</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10</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Close: the full workflow and its honest limits</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7:25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End-to-end recap and precise scope</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Total</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7:55</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r>
    </w:tbl>
    <w:p>
      <w:pPr>
        <w:spacing w:after="100"/>
      </w:pPr>
      <w:r>
        <w:br w:type="page"/>
      </w:r>
    </w:p>
    <w:p>
      <w:pPr>
        <w:pStyle w:val="Heading1"/>
      </w:pPr>
      <w:r>
        <w:t xml:space="preserve">4. Scene-by-scene script and storyboard</w:t>
      </w:r>
    </w:p>
    <w:p>
      <w:pPr>
        <w:spacing w:after="100"/>
      </w:pPr>
      <w:r>
        <w:rPr>
          <w:color w:val="5F6F80"/>
        </w:rPr>
        <w:t xml:space="preserve">Frames are real outputs from the commands shown. Commands prefixed with $ are typed on screen; everything under Narration is read word for word.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w:t>
            </w:r>
          </w:p>
          <w:p>
            <w:pPr>
              <w:spacing w:after="120"/>
            </w:pPr>
            <w:r>
              <w:rPr>
                <w:color w:val="5F6F80"/>
                <w:sz w:val="18"/>
                <w:szCs w:val="18"/>
              </w:rPr>
              <w:t xml:space="preserve">0:00 – 0:40  ·  40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2 (quadrant), full screen.</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Cold open: the wrong question</w:t>
            </w:r>
          </w:p>
          <w:p>
            <w:pPr>
              <w:spacing w:after="110"/>
            </w:pPr>
            <w:r>
              <w:rPr>
                <w:b/>
                <w:bCs/>
                <w:color w:val="0B7A6B"/>
                <w:spacing w:val="20"/>
                <w:sz w:val="16"/>
                <w:szCs w:val="16"/>
              </w:rPr>
              <w:t xml:space="preserve">ON SCREEN   </w:t>
            </w:r>
            <w:r>
              <w:t xml:space="preserve">Presentation slide 2. Start on the title, then reveal the four-quadrant diagram.</w:t>
            </w:r>
          </w:p>
          <w:p>
            <w:pPr>
              <w:spacing w:after="110"/>
            </w:pPr>
            <w:r>
              <w:rPr>
                <w:b/>
                <w:bCs/>
                <w:color w:val="0B7A6B"/>
                <w:spacing w:val="20"/>
                <w:sz w:val="16"/>
                <w:szCs w:val="16"/>
              </w:rPr>
              <w:t xml:space="preserve">ACTION   </w:t>
            </w:r>
            <w:r>
              <w:rPr>
                <w:rFonts w:ascii="Calibri" w:cs="Calibri" w:eastAsia="Calibri" w:hAnsi="Calibri"/>
                <w:sz w:val="21"/>
                <w:szCs w:val="21"/>
              </w:rPr>
              <w:t xml:space="preserve">Screen-record the slide in presenter view off; advance once at “Some customers are persuadable”.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“Subscription businesses lose customers every month, and the usual answer is a churn model: score everyone's risk, then send the riskiest customers a discount. RetainIQ starts from a different question. Not “who is likely to leave?”, but “whose decision will an offer actually change, and is it worth the money?” Some customers are persuadable. Some would stay anyway. And some, the sleeping dogs, leave because you contacted them. In the next eight minutes I'll run the system end to end, from a raw billing export to a list of actions, and show where it refuses to guess.”</w:t>
            </w:r>
          </w:p>
          <w:p>
            <w:pPr>
              <w:spacing w:after="110"/>
            </w:pPr>
            <w:r>
              <w:rPr>
                <w:b/>
                <w:bCs/>
                <w:color w:val="0B7A6B"/>
                <w:spacing w:val="20"/>
                <w:sz w:val="16"/>
                <w:szCs w:val="16"/>
              </w:rPr>
              <w:t xml:space="preserve">ON-SCREEN TEXT   </w:t>
            </w:r>
            <w:r>
              <w:rPr>
                <w:i/>
                <w:iCs/>
              </w:rPr>
              <w:t xml:space="preserve">RetainIQ · Prasham Jain · Reg. No. 2427030155 · Mentor: Dr. Rishi Gupta · Manipal University Jaipur</w:t>
            </w:r>
          </w:p>
          <w:p>
            <w:pPr>
              <w:spacing w:after="110"/>
            </w:pPr>
            <w:r>
              <w:rPr>
                <w:b/>
                <w:bCs/>
                <w:color w:val="0B7A6B"/>
                <w:spacing w:val="20"/>
                <w:sz w:val="16"/>
                <w:szCs w:val="16"/>
              </w:rPr>
              <w:t xml:space="preserve">VISUAL CUES   </w:t>
            </w:r>
            <w:r>
              <w:t xml:space="preserve">Hold the title 3 s. Soft zoom (110%) on the Sleeping Dog quadrant while it is named.</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2</w:t>
            </w:r>
          </w:p>
          <w:p>
            <w:pPr>
              <w:spacing w:after="120"/>
            </w:pPr>
            <w:r>
              <w:rPr>
                <w:color w:val="5F6F80"/>
                <w:sz w:val="18"/>
                <w:szCs w:val="18"/>
              </w:rPr>
              <w:t xml:space="preserve">0:40 – 1:25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killtest.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The founding experiment: a good model that loses money</w:t>
            </w:r>
          </w:p>
          <w:p>
            <w:pPr>
              <w:spacing w:after="110"/>
            </w:pPr>
            <w:r>
              <w:rPr>
                <w:b/>
                <w:bCs/>
                <w:color w:val="0B7A6B"/>
                <w:spacing w:val="20"/>
                <w:sz w:val="16"/>
                <w:szCs w:val="16"/>
              </w:rPr>
              <w:t xml:space="preserve">ON SCREEN   </w:t>
            </w:r>
            <w:r>
              <w:t xml:space="preserve">Terminal, dark theme, font 20 pt or larger, repository root.</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killtest</w:t>
            </w:r>
            <w:r>
              <w:rPr>
                <w:rFonts w:ascii="Calibri" w:cs="Calibri" w:eastAsia="Calibri" w:hAnsi="Calibri"/>
                <w:sz w:val="21"/>
                <w:szCs w:val="21"/>
              </w:rPr>
              <w:t xml:space="preserve">   ·   Wait for the table; do not cut the wait if under 10 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“First, the experiment the project is built on. This trains a gradient-boosted churn model on a simulated subscription business of 3,589 customers, using only information available before the decision month. The model is respectable: an AUC of 0.700 on customers it has never seen. Now watch what happens when we act on it. Giving an offer to its top 20% loses 22,823, worse than picking customers at random, which loses 17,035. The last two rows use the simulator's true effects, so they are an upper bound: targeting by effect, and abstaining when unsure, earns 8,610 on the same budget.”</w:t>
            </w:r>
          </w:p>
          <w:p>
            <w:pPr>
              <w:spacing w:after="110"/>
            </w:pPr>
            <w:r>
              <w:rPr>
                <w:b/>
                <w:bCs/>
                <w:color w:val="0B7A6B"/>
                <w:spacing w:val="20"/>
                <w:sz w:val="16"/>
                <w:szCs w:val="16"/>
              </w:rPr>
              <w:t xml:space="preserve">ON-SCREEN TEXT   </w:t>
            </w:r>
            <w:r>
              <w:rPr>
                <w:i/>
                <w:iCs/>
              </w:rPr>
              <w:t xml:space="preserve">make killtest · simulated business · oracle rows = upper bound</w:t>
            </w:r>
          </w:p>
          <w:p>
            <w:pPr>
              <w:spacing w:after="110"/>
            </w:pPr>
            <w:r>
              <w:rPr>
                <w:b/>
                <w:bCs/>
                <w:color w:val="0B7A6B"/>
                <w:spacing w:val="20"/>
                <w:sz w:val="16"/>
                <w:szCs w:val="16"/>
              </w:rPr>
              <w:t xml:space="preserve">VISUAL CUES   </w:t>
            </w:r>
            <w:r>
              <w:t xml:space="preserve">Highlight box on “AUC 0.700”, then on churn_score_top20pct (−22,823) in coral, then on the two oracle rows with the label “upper bound”.</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3</w:t>
            </w:r>
          </w:p>
          <w:p>
            <w:pPr>
              <w:spacing w:after="120"/>
            </w:pPr>
            <w:r>
              <w:rPr>
                <w:color w:val="5F6F80"/>
                <w:sz w:val="18"/>
                <w:szCs w:val="18"/>
              </w:rPr>
              <w:t xml:space="preserve">1:25 – 2:00  ·  35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demo-data and head.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Raw input: a Stripe-shaped billing export</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demo-data</w:t>
            </w:r>
            <w:r>
              <w:rPr>
                <w:rFonts w:ascii="Courier New" w:cs="Courier New" w:eastAsia="Courier New" w:hAnsi="Courier New"/>
                <w:sz w:val="18"/>
                <w:szCs w:val="18"/>
              </w:rPr>
              <w:t xml:space="preserve">   ·   $ head -6 demo/subscriptions.csv</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“Real engagements start from a billing export, so here is one, shaped exactly like Stripe's: its own column names, timestamps marked UTC, and plan amounts in cents. These rows are randomly generated, so the figures they produce say nothing about retention; they are here to exercise the delivery path. Notice the Plan Amount column: 18,922 means 189 dollars and 22 cents. That detail matters in the next step.”</w:t>
            </w:r>
          </w:p>
          <w:p>
            <w:pPr>
              <w:spacing w:after="110"/>
            </w:pPr>
            <w:r>
              <w:rPr>
                <w:b/>
                <w:bCs/>
                <w:color w:val="0B7A6B"/>
                <w:spacing w:val="20"/>
                <w:sz w:val="16"/>
                <w:szCs w:val="16"/>
              </w:rPr>
              <w:t xml:space="preserve">ON-SCREEN TEXT   </w:t>
            </w:r>
            <w:r>
              <w:rPr>
                <w:i/>
                <w:iCs/>
              </w:rPr>
              <w:t xml:space="preserve">Input: customers.csv + subscriptions.csv (Stripe column names, amounts in cents)</w:t>
            </w:r>
          </w:p>
          <w:p>
            <w:pPr>
              <w:spacing w:after="110"/>
            </w:pPr>
            <w:r>
              <w:rPr>
                <w:b/>
                <w:bCs/>
                <w:color w:val="0B7A6B"/>
                <w:spacing w:val="20"/>
                <w:sz w:val="16"/>
                <w:szCs w:val="16"/>
              </w:rPr>
              <w:t xml:space="preserve">VISUAL CUES   </w:t>
            </w:r>
            <w:r>
              <w:t xml:space="preserve">Underline the “Plan Amount” header and the value 18922.</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4</w:t>
            </w:r>
          </w:p>
          <w:p>
            <w:pPr>
              <w:spacing w:after="120"/>
            </w:pPr>
            <w:r>
              <w:rPr>
                <w:color w:val="5F6F80"/>
                <w:sz w:val="18"/>
                <w:szCs w:val="18"/>
              </w:rPr>
              <w:t xml:space="preserve">2:00 – 2:55  ·  55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preflight blocks (top); autopsy refuses the same file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Preflight: refusing a file that would mislead</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preflight --customers demo/customers.csv --subscriptions demo/subscriptions.csv</w:t>
            </w:r>
            <w:r>
              <w:rPr>
                <w:rFonts w:ascii="Courier New" w:cs="Courier New" w:eastAsia="Courier New" w:hAnsi="Courier New"/>
                <w:sz w:val="18"/>
                <w:szCs w:val="18"/>
              </w:rPr>
              <w:t xml:space="preserve">   ·   $ echo $?</w:t>
            </w:r>
            <w:r>
              <w:rPr>
                <w:rFonts w:ascii="Courier New" w:cs="Courier New" w:eastAsia="Courier New" w:hAnsi="Courier New"/>
                <w:sz w:val="18"/>
                <w:szCs w:val="18"/>
              </w:rPr>
              <w:t xml:space="preserve">   ·   $ python -m retainiq.cli autopsy --customers demo/customers.csv --subscriptions demo/subscriptions.csv --out demo/blocked.html</w:t>
            </w:r>
            <w:r>
              <w:rPr>
                <w:rFonts w:ascii="Courier New" w:cs="Courier New" w:eastAsia="Courier New" w:hAnsi="Courier New"/>
                <w:sz w:val="18"/>
                <w:szCs w:val="18"/>
              </w:rPr>
              <w:t xml:space="preserve">   ·   $ ls demo/blocked.html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“Before any report is produced, preflight checks whether the file means what it looks like it means. It blocks this one. The median plan amount is 15,312 and every value is a whole number, which is what cents look like. A report built from it would overstate every revenue figure a hundred times. It does not silently convert; it tells you to confirm with the business. It also flags an assumption: there is no billing-interval column, so every plan would be treated as monthly. The command exits with status 1, and if you ask for the report anyway, it refuses and writes nothing.”</w:t>
            </w:r>
          </w:p>
          <w:p>
            <w:pPr>
              <w:spacing w:after="110"/>
            </w:pPr>
            <w:r>
              <w:rPr>
                <w:b/>
                <w:bCs/>
                <w:color w:val="0B7A6B"/>
                <w:spacing w:val="20"/>
                <w:sz w:val="16"/>
                <w:szCs w:val="16"/>
              </w:rPr>
              <w:t xml:space="preserve">ON-SCREEN TEXT   </w:t>
            </w:r>
            <w:r>
              <w:rPr>
                <w:i/>
                <w:iCs/>
              </w:rPr>
              <w:t xml:space="preserve">Preflight · VERDICT: BLOCKED · exit code 1 · no report written</w:t>
            </w:r>
          </w:p>
          <w:p>
            <w:pPr>
              <w:spacing w:after="110"/>
            </w:pPr>
            <w:r>
              <w:rPr>
                <w:b/>
                <w:bCs/>
                <w:color w:val="0B7A6B"/>
                <w:spacing w:val="20"/>
                <w:sz w:val="16"/>
                <w:szCs w:val="16"/>
              </w:rPr>
              <w:t xml:space="preserve">VISUAL CUES   </w:t>
            </w:r>
            <w:r>
              <w:t xml:space="preserve">Coral highlight on “VERDICT: BLOCKED”; gold highlight on the BILLING INTERVAL assumption; zoom on “1” after echo $?; show the “No such file” line from ls.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5</w:t>
            </w:r>
          </w:p>
          <w:p>
            <w:pPr>
              <w:spacing w:after="120"/>
            </w:pPr>
            <w:r>
              <w:rPr>
                <w:color w:val="5F6F80"/>
                <w:sz w:val="18"/>
                <w:szCs w:val="18"/>
              </w:rPr>
              <w:t xml:space="preserve">2:55 – 4:05  ·  70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READY run (top); sample report from make sample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Units confirmed: the Churn Autopsy report</w:t>
            </w:r>
          </w:p>
          <w:p>
            <w:pPr>
              <w:spacing w:after="110"/>
            </w:pPr>
            <w:r>
              <w:rPr>
                <w:b/>
                <w:bCs/>
                <w:color w:val="0B7A6B"/>
                <w:spacing w:val="20"/>
                <w:sz w:val="16"/>
                <w:szCs w:val="16"/>
              </w:rPr>
              <w:t xml:space="preserve">ON SCREEN   </w:t>
            </w:r>
            <w:r>
              <w:t xml:space="preserve">Terminal, then browser showing sample_churn_autopsy.html (built by make sample).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autopsy --customers demo/customers.csv --subscriptions demo/subscriptions.csv --divide-amounts-by 100 --interval month --name "Acme Analytics (demo data)" --out demo/demo_autopsy.html --worklists</w:t>
            </w:r>
            <w:r>
              <w:rPr>
                <w:rFonts w:ascii="Courier New" w:cs="Courier New" w:eastAsia="Courier New" w:hAnsi="Courier New"/>
                <w:sz w:val="18"/>
                <w:szCs w:val="18"/>
              </w:rPr>
              <w:t xml:space="preserve">   ·   $ open sample_churn_autopsy.html</w:t>
            </w:r>
            <w:r>
              <w:rPr>
                <w:rFonts w:ascii="Calibri" w:cs="Calibri" w:eastAsia="Calibri" w:hAnsi="Calibri"/>
                <w:sz w:val="21"/>
                <w:szCs w:val="21"/>
              </w:rPr>
              <w:t xml:space="preserve">   ·   Scroll slowly to the first two findings.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“With the units confirmed, the same command runs with divide-amounts-by 100. Preflight now reads a median of 153 a month, which is plausible, and the verdict is READY. It writes the report and two worklist files. Because these demo rows are random, that report's figures mean nothing, so to show how to read a report I'll open the sample built from a realistic simulated business of 900 customers; the yellow banner says it is simulated. Churn costs about 2.6 lakh rupees a year, and 31% of churn is failed payments. Each finding is ranked by money and tagged: green is measured from the data, amber is estimated from benchmarks. The first actions are mechanical: fix involuntary churn, and move payment retries onto payday.”</w:t>
            </w:r>
          </w:p>
          <w:p>
            <w:pPr>
              <w:spacing w:after="110"/>
            </w:pPr>
            <w:r>
              <w:rPr>
                <w:b/>
                <w:bCs/>
                <w:color w:val="0B7A6B"/>
                <w:spacing w:val="20"/>
                <w:sz w:val="16"/>
                <w:szCs w:val="16"/>
              </w:rPr>
              <w:t xml:space="preserve">ON-SCREEN TEXT   </w:t>
            </w:r>
            <w:r>
              <w:rPr>
                <w:i/>
                <w:iCs/>
              </w:rPr>
              <w:t xml:space="preserve">Churn Autopsy · green = measured from data · amber = estimated from benchmarks</w:t>
            </w:r>
          </w:p>
          <w:p>
            <w:pPr>
              <w:spacing w:after="110"/>
            </w:pPr>
            <w:r>
              <w:rPr>
                <w:b/>
                <w:bCs/>
                <w:color w:val="0B7A6B"/>
                <w:spacing w:val="20"/>
                <w:sz w:val="16"/>
                <w:szCs w:val="16"/>
              </w:rPr>
              <w:t xml:space="preserve">VISUAL CUES   </w:t>
            </w:r>
            <w:r>
              <w:t xml:space="preserve">Teal highlight on “VERDICT: READY” and the three “wrote” lines. In the browser, point to the simulated-data banner, the ₹2.6 lakh headline, the 31% tile and the ‘What to do’ box.</w:t>
            </w:r>
          </w:p>
          <w:p>
            <w:pPr>
              <w:spacing w:after="110"/>
            </w:pPr>
            <w:r>
              <w:rPr>
                <w:b/>
                <w:bCs/>
                <w:color w:val="0B7A6B"/>
                <w:spacing w:val="20"/>
                <w:sz w:val="16"/>
                <w:szCs w:val="16"/>
              </w:rPr>
              <w:t xml:space="preserve">TRANSITION   </w:t>
            </w:r>
            <w:r>
              <w:t xml:space="preserve">Cross-dissolve (0.5 s).</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6</w:t>
            </w:r>
          </w:p>
          <w:p>
            <w:pPr>
              <w:spacing w:after="120"/>
            </w:pPr>
            <w:r>
              <w:rPr>
                <w:color w:val="5F6F80"/>
                <w:sz w:val="18"/>
                <w:szCs w:val="18"/>
              </w:rPr>
              <w:t xml:space="preserve">4:05 – 5:10  ·  65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dashboard (simulated tenant).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From diagnosis to decisions: the dashboard</w:t>
            </w:r>
          </w:p>
          <w:p>
            <w:pPr>
              <w:spacing w:after="110"/>
            </w:pPr>
            <w:r>
              <w:rPr>
                <w:b/>
                <w:bCs/>
                <w:color w:val="0B7A6B"/>
                <w:spacing w:val="20"/>
                <w:sz w:val="16"/>
                <w:szCs w:val="16"/>
              </w:rPr>
              <w:t xml:space="preserve">ON SCREEN   </w:t>
            </w:r>
            <w:r>
              <w:t xml:space="preserve">Browser showing retention_dashboard.html.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dashboard</w:t>
            </w:r>
            <w:r>
              <w:rPr>
                <w:rFonts w:ascii="Courier New" w:cs="Courier New" w:eastAsia="Courier New" w:hAnsi="Courier New"/>
                <w:sz w:val="18"/>
                <w:szCs w:val="18"/>
              </w:rPr>
              <w:t xml:space="preserve">   ·   $ open retention_dashboard.html</w:t>
            </w:r>
            <w:r>
              <w:rPr>
                <w:rFonts w:ascii="Calibri" w:cs="Calibri" w:eastAsia="Calibri" w:hAnsi="Calibri"/>
                <w:sz w:val="21"/>
                <w:szCs w:val="21"/>
              </w:rPr>
              <w:t xml:space="preserve">   ·   Pause on the banner, then on 142, then on the offer chart.</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“A report describes the problem. Deciding whom to contact needs evidence about how customers respond to offers, and a billing export does not contain that. So the dashboard runs on a simulated business of 1,500 customers, where a randomised pilot assigned offers at random to half of the eligible customers. The first thing on the page is a warning that cannot be turned off: this engine beat one well-chosen offer on 58% of tests, with a 95% interval of 42 to 72%, which is not distinguishable from a coin flip. Then the decision: contact 142 of the 472 customers assessed, and leave 330 alone. Leaving customers alone is a result, not a failure. Most recommendations are downgrade offers, which cost little; only 10 are discounts.”</w:t>
            </w:r>
          </w:p>
          <w:p>
            <w:pPr>
              <w:spacing w:after="110"/>
            </w:pPr>
            <w:r>
              <w:rPr>
                <w:b/>
                <w:bCs/>
                <w:color w:val="0B7A6B"/>
                <w:spacing w:val="20"/>
                <w:sz w:val="16"/>
                <w:szCs w:val="16"/>
              </w:rPr>
              <w:t xml:space="preserve">ON-SCREEN TEXT   </w:t>
            </w:r>
            <w:r>
              <w:rPr>
                <w:i/>
                <w:iCs/>
              </w:rPr>
              <w:t xml:space="preserve">Dashboard · simulated business · 142 to contact, 330 left alone</w:t>
            </w:r>
          </w:p>
          <w:p>
            <w:pPr>
              <w:spacing w:after="110"/>
            </w:pPr>
            <w:r>
              <w:rPr>
                <w:b/>
                <w:bCs/>
                <w:color w:val="0B7A6B"/>
                <w:spacing w:val="20"/>
                <w:sz w:val="16"/>
                <w:szCs w:val="16"/>
              </w:rPr>
              <w:t xml:space="preserve">VISUAL CUES   </w:t>
            </w:r>
            <w:r>
              <w:t xml:space="preserve">Gold outline on the banner. Count-up animation on “142”. Highlight the “no offer” bar (330).</w:t>
            </w:r>
          </w:p>
          <w:p>
            <w:pPr>
              <w:spacing w:after="110"/>
            </w:pPr>
            <w:r>
              <w:rPr>
                <w:b/>
                <w:bCs/>
                <w:color w:val="0B7A6B"/>
                <w:spacing w:val="20"/>
                <w:sz w:val="16"/>
                <w:szCs w:val="16"/>
              </w:rPr>
              <w:t xml:space="preserve">TRANSITION   </w:t>
            </w:r>
            <w:r>
              <w:t xml:space="preserve">Hard cut (same page, scroll).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7</w:t>
            </w:r>
          </w:p>
          <w:p>
            <w:pPr>
              <w:spacing w:after="120"/>
            </w:pPr>
            <w:r>
              <w:rPr>
                <w:color w:val="5F6F80"/>
                <w:sz w:val="18"/>
                <w:szCs w:val="18"/>
              </w:rPr>
              <w:t xml:space="preserve">5:10 – 6:10  ·  60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rows expanded in the dashboard.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Explaining a recommendation, and flagging a weak one</w:t>
            </w:r>
          </w:p>
          <w:p>
            <w:pPr>
              <w:spacing w:after="110"/>
            </w:pPr>
            <w:r>
              <w:rPr>
                <w:b/>
                <w:bCs/>
                <w:color w:val="0B7A6B"/>
                <w:spacing w:val="20"/>
                <w:sz w:val="16"/>
                <w:szCs w:val="16"/>
              </w:rPr>
              <w:t xml:space="preserve">ON SCREEN   </w:t>
            </w:r>
            <w:r>
              <w:t xml:space="preserve">Same dashboard, scrolled to “Who to contact”.</w:t>
            </w:r>
          </w:p>
          <w:p>
            <w:pPr>
              <w:spacing w:after="110"/>
            </w:pPr>
            <w:r>
              <w:rPr>
                <w:b/>
                <w:bCs/>
                <w:color w:val="0B7A6B"/>
                <w:spacing w:val="20"/>
                <w:sz w:val="16"/>
                <w:szCs w:val="16"/>
              </w:rPr>
              <w:t xml:space="preserve">ACTION   </w:t>
            </w:r>
            <w:r>
              <w:rPr>
                <w:rFonts w:ascii="Calibri" w:cs="Calibri" w:eastAsia="Calibri" w:hAnsi="Calibri"/>
                <w:sz w:val="21"/>
                <w:szCs w:val="21"/>
              </w:rPr>
              <w:t xml:space="preserve">Click row 379.</w:t>
            </w:r>
            <w:r>
              <w:rPr>
                <w:rFonts w:ascii="Calibri" w:cs="Calibri" w:eastAsia="Calibri" w:hAnsi="Calibri"/>
                <w:sz w:val="21"/>
                <w:szCs w:val="21"/>
              </w:rPr>
              <w:t xml:space="preserve">   ·   Click row 146.</w:t>
            </w:r>
            <w:r>
              <w:rPr>
                <w:rFonts w:ascii="Calibri" w:cs="Calibri" w:eastAsia="Calibri" w:hAnsi="Calibri"/>
                <w:sz w:val="21"/>
                <w:szCs w:val="21"/>
              </w:rPr>
              <w:t xml:space="preserve">   ·   Scroll to and click row 1212 (47%).</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“Click any customer to see the reasoning. Customer 379 is worth 9,733 if kept, has a 56% risk of leaving without contact, and this offer moves that risk by 33 points at a cost of 1,422. The expected gain is 1,705, with a 62% chance of paying off. “Why them” lists the features that make the offer more or less likely to work, computed exactly from the model rather than approximated. “Why this offer” names the next-best offer and how much less it is worth. Now the edge case. Customer 1212 has only a 47% chance of making money. It is listed on expected value, but flagged in amber as thin evidence, to be treated as a suggestion, not a finding.”</w:t>
            </w:r>
          </w:p>
          <w:p>
            <w:pPr>
              <w:spacing w:after="110"/>
            </w:pPr>
            <w:r>
              <w:rPr>
                <w:b/>
                <w:bCs/>
                <w:color w:val="0B7A6B"/>
                <w:spacing w:val="20"/>
                <w:sz w:val="16"/>
                <w:szCs w:val="16"/>
              </w:rPr>
              <w:t xml:space="preserve">ON-SCREEN TEXT   </w:t>
            </w:r>
            <w:r>
              <w:rPr>
                <w:i/>
                <w:iCs/>
              </w:rPr>
              <w:t xml:space="preserve">Every recommendation: expected gain · chance it pays · why · caution</w:t>
            </w:r>
          </w:p>
          <w:p>
            <w:pPr>
              <w:spacing w:after="110"/>
            </w:pPr>
            <w:r>
              <w:rPr>
                <w:b/>
                <w:bCs/>
                <w:color w:val="0B7A6B"/>
                <w:spacing w:val="20"/>
                <w:sz w:val="16"/>
                <w:szCs w:val="16"/>
              </w:rPr>
              <w:t xml:space="preserve">VISUAL CUES   </w:t>
            </w:r>
            <w:r>
              <w:t xml:space="preserve">Box each label as it is read (why it pays, why them, why this offer). Amber pulse on “47%” and on the caution line.</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8</w:t>
            </w:r>
          </w:p>
          <w:p>
            <w:pPr>
              <w:spacing w:after="120"/>
            </w:pPr>
            <w:r>
              <w:rPr>
                <w:color w:val="5F6F80"/>
                <w:sz w:val="18"/>
                <w:szCs w:val="18"/>
              </w:rPr>
              <w:t xml:space="preserve">6:10 – 6:55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holdout (minimum detectable effect table).</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Did it work? The measurement floor</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holdout</w:t>
            </w:r>
            <w:r>
              <w:rPr>
                <w:rFonts w:ascii="Calibri" w:cs="Calibri" w:eastAsia="Calibri" w:hAnsi="Calibri"/>
                <w:sz w:val="21"/>
                <w:szCs w:val="21"/>
              </w:rPr>
              <w:t xml:space="preserve">   ·   Scroll to the MINIMUM DETECTABLE EFFECT table.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“Last question: did it work? RetainIQ assigns a permanent random holdout and measures the difference. Checked against the simulator's known effect, the estimator is unbiased, with intervals that contain the truth 88 to 98% of the time. But look at the minimum detectable effect. The offer really improves retention by about 1.1 points. Even at 10,000 customers, the smallest effect a 10% holdout can detect is 3.7 points. Detecting this one needs about 119,500 customers. A small business cannot measure its own retention campaign alone, which is why pooling evidence across businesses is the next step.”</w:t>
            </w:r>
          </w:p>
          <w:p>
            <w:pPr>
              <w:spacing w:after="110"/>
            </w:pPr>
            <w:r>
              <w:rPr>
                <w:b/>
                <w:bCs/>
                <w:color w:val="0B7A6B"/>
                <w:spacing w:val="20"/>
                <w:sz w:val="16"/>
                <w:szCs w:val="16"/>
              </w:rPr>
              <w:t xml:space="preserve">ON-SCREEN TEXT   </w:t>
            </w:r>
            <w:r>
              <w:rPr>
                <w:i/>
                <w:iCs/>
              </w:rPr>
              <w:t xml:space="preserve">make holdout · 10% holdout · 80% power · α = 0.05</w:t>
            </w:r>
          </w:p>
          <w:p>
            <w:pPr>
              <w:spacing w:after="110"/>
            </w:pPr>
            <w:r>
              <w:rPr>
                <w:b/>
                <w:bCs/>
                <w:color w:val="0B7A6B"/>
                <w:spacing w:val="20"/>
                <w:sz w:val="16"/>
                <w:szCs w:val="16"/>
              </w:rPr>
              <w:t xml:space="preserve">VISUAL CUES   </w:t>
            </w:r>
            <w:r>
              <w:t xml:space="preserve">Coral highlight on the “no” column; zoom on “119,501 customers”.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9</w:t>
            </w:r>
          </w:p>
          <w:p>
            <w:pPr>
              <w:spacing w:after="120"/>
            </w:pPr>
            <w:r>
              <w:rPr>
                <w:color w:val="5F6F80"/>
                <w:sz w:val="18"/>
                <w:szCs w:val="18"/>
              </w:rPr>
              <w:t xml:space="preserve">6:55 – 7:25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check (pre-recorded, sped up).</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Quality and reproducibility</w:t>
            </w:r>
          </w:p>
          <w:p>
            <w:pPr>
              <w:spacing w:after="110"/>
            </w:pPr>
            <w:r>
              <w:rPr>
                <w:b/>
                <w:bCs/>
                <w:color w:val="0B7A6B"/>
                <w:spacing w:val="20"/>
                <w:sz w:val="16"/>
                <w:szCs w:val="16"/>
              </w:rPr>
              <w:t xml:space="preserve">ON SCREEN   </w:t>
            </w:r>
            <w:r>
              <w:t xml:space="preserve">Terminal; optional 3 s of the repository's GitHub Actions page.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check  (record in advance; play at 8x with a “sped up” label)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“Everything shown is reproducible. make check runs the linter, all 467 tests and the simulator's calibration gates. On GitHub, every push re-runs the test suite on Python 3.11, 3.12 and 3.13, plus the calibration gates, a leakage gate and the kill test. The code, the data and the paper are archived on Zenodo.”</w:t>
            </w:r>
          </w:p>
          <w:p>
            <w:pPr>
              <w:spacing w:after="110"/>
            </w:pPr>
            <w:r>
              <w:rPr>
                <w:b/>
                <w:bCs/>
                <w:color w:val="0B7A6B"/>
                <w:spacing w:val="20"/>
                <w:sz w:val="16"/>
                <w:szCs w:val="16"/>
              </w:rPr>
              <w:t xml:space="preserve">ON-SCREEN TEXT   </w:t>
            </w:r>
            <w:r>
              <w:rPr>
                <w:i/>
                <w:iCs/>
              </w:rPr>
              <w:t xml:space="preserve">467 tests · 4 CI gates · github.com/PrashamJ17/PBL-Proj</w:t>
            </w:r>
          </w:p>
          <w:p>
            <w:pPr>
              <w:spacing w:after="110"/>
            </w:pPr>
            <w:r>
              <w:rPr>
                <w:b/>
                <w:bCs/>
                <w:color w:val="0B7A6B"/>
                <w:spacing w:val="20"/>
                <w:sz w:val="16"/>
                <w:szCs w:val="16"/>
              </w:rPr>
              <w:t xml:space="preserve">VISUAL CUES   </w:t>
            </w:r>
            <w:r>
              <w:t xml:space="preserve">Label “sped up 8x”. Highlight “467 passed” and both “RESULT: ALL TARGETS MET”.</w:t>
            </w:r>
          </w:p>
          <w:p>
            <w:pPr>
              <w:spacing w:after="110"/>
            </w:pPr>
            <w:r>
              <w:rPr>
                <w:b/>
                <w:bCs/>
                <w:color w:val="0B7A6B"/>
                <w:spacing w:val="20"/>
                <w:sz w:val="16"/>
                <w:szCs w:val="16"/>
              </w:rPr>
              <w:t xml:space="preserve">TRANSITION   </w:t>
            </w:r>
            <w:r>
              <w:t xml:space="preserve">Cross-dissolve (0.8 s) to the closing slide.</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10</w:t>
            </w:r>
          </w:p>
          <w:p>
            <w:pPr>
              <w:spacing w:after="120"/>
            </w:pPr>
            <w:r>
              <w:rPr>
                <w:color w:val="5F6F80"/>
                <w:sz w:val="18"/>
                <w:szCs w:val="18"/>
              </w:rPr>
              <w:t xml:space="preserve">7:25 – 7:55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8.</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Close: the full workflow and its honest limits</w:t>
            </w:r>
          </w:p>
          <w:p>
            <w:pPr>
              <w:spacing w:after="110"/>
            </w:pPr>
            <w:r>
              <w:rPr>
                <w:b/>
                <w:bCs/>
                <w:color w:val="0B7A6B"/>
                <w:spacing w:val="20"/>
                <w:sz w:val="16"/>
                <w:szCs w:val="16"/>
              </w:rPr>
              <w:t xml:space="preserve">ON SCREEN   </w:t>
            </w:r>
            <w:r>
              <w:t xml:space="preserve">Presentation slide 8, then a 3 s end card with the repository and DOIs.</w:t>
            </w:r>
          </w:p>
          <w:p>
            <w:pPr>
              <w:spacing w:after="110"/>
            </w:pPr>
            <w:r>
              <w:rPr>
                <w:b/>
                <w:bCs/>
                <w:color w:val="0B7A6B"/>
                <w:spacing w:val="20"/>
                <w:sz w:val="16"/>
                <w:szCs w:val="16"/>
              </w:rPr>
              <w:t xml:space="preserve">ACTION   </w:t>
            </w:r>
            <w:r>
              <w:rPr>
                <w:rFonts w:ascii="Calibri" w:cs="Calibri" w:eastAsia="Calibri" w:hAnsi="Calibri"/>
                <w:sz w:val="21"/>
                <w:szCs w:val="21"/>
              </w:rPr>
              <w:t xml:space="preserve">Show slide 8; hold on “Production readiness” while it is read.</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“To recap the flow: a billing export goes through preflight, becomes a report, and, with pilot evidence, becomes a short list of customers to contact, each with a reason and a confidence, while most are deliberately left alone. What is ready is the delivery path and its engineering. What is not yet shown is a real client's return on investment. That is the next step. Thank you.”</w:t>
            </w:r>
          </w:p>
          <w:p>
            <w:pPr>
              <w:spacing w:after="110"/>
            </w:pPr>
            <w:r>
              <w:rPr>
                <w:b/>
                <w:bCs/>
                <w:color w:val="0B7A6B"/>
                <w:spacing w:val="20"/>
                <w:sz w:val="16"/>
                <w:szCs w:val="16"/>
              </w:rPr>
              <w:t xml:space="preserve">ON-SCREEN TEXT   </w:t>
            </w:r>
            <w:r>
              <w:rPr>
                <w:i/>
                <w:iCs/>
              </w:rPr>
              <w:t xml:space="preserve">Code: github.com/PrashamJ17/PBL-Proj · Paper DOI 10.5281/zenodo.22009470</w:t>
            </w:r>
          </w:p>
          <w:p>
            <w:pPr>
              <w:spacing w:after="110"/>
            </w:pPr>
            <w:r>
              <w:rPr>
                <w:b/>
                <w:bCs/>
                <w:color w:val="0B7A6B"/>
                <w:spacing w:val="20"/>
                <w:sz w:val="16"/>
                <w:szCs w:val="16"/>
              </w:rPr>
              <w:t xml:space="preserve">VISUAL CUES   </w:t>
            </w:r>
            <w:r>
              <w:t xml:space="preserve">Build the three readiness rows in sequence (green, gold, coral).</w:t>
            </w:r>
          </w:p>
          <w:p>
            <w:pPr>
              <w:spacing w:after="110"/>
            </w:pPr>
            <w:r>
              <w:rPr>
                <w:b/>
                <w:bCs/>
                <w:color w:val="0B7A6B"/>
                <w:spacing w:val="20"/>
                <w:sz w:val="16"/>
                <w:szCs w:val="16"/>
              </w:rPr>
              <w:t xml:space="preserve">TRANSITION   </w:t>
            </w:r>
            <w:r>
              <w:t xml:space="preserve">Fade to black (1 s).</w:t>
            </w:r>
          </w:p>
        </w:tc>
      </w:tr>
    </w:tbl>
    <w:p>
      <w:pPr>
        <w:spacing w:after="100"/>
      </w:pPr>
      <w:r>
        <w:br w:type="page"/>
      </w:r>
    </w:p>
    <w:p>
      <w:pPr>
        <w:pStyle w:val="Heading1"/>
      </w:pPr>
      <w:r>
        <w:t xml:space="preserve">5. Edge cases shown, and how each is triggered</w:t>
      </w:r>
    </w:p>
    <w:tbl>
      <w:tblPr>
        <w:tblW w:type="dxa" w:w="13610"/>
        <w:tblBorders>
          <w:top w:val="single" w:color="auto" w:sz="4"/>
          <w:left w:val="single" w:color="auto" w:sz="4"/>
          <w:bottom w:val="single" w:color="auto" w:sz="4"/>
          <w:right w:val="single" w:color="auto" w:sz="4"/>
          <w:insideH w:val="single" w:color="auto" w:sz="4"/>
          <w:insideV w:val="single" w:color="auto" w:sz="4"/>
        </w:tblBorders>
      </w:tblPr>
      <w:tblGrid>
        <w:gridCol w:w="3300"/>
        <w:gridCol w:w="3900"/>
        <w:gridCol w:w="4910"/>
        <w:gridCol w:w="150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Edge case</w:t>
            </w:r>
          </w:p>
        </w:tc>
        <w:tc>
          <w:tcPr>
            <w:tcW w:type="dxa" w:w="39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How it is triggered</w:t>
            </w:r>
          </w:p>
        </w:tc>
        <w:tc>
          <w:tcPr>
            <w:tcW w:type="dxa" w:w="49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Expected behaviour (verified)</w:t>
            </w:r>
          </w:p>
        </w:tc>
        <w:tc>
          <w:tcPr>
            <w:tcW w:type="dxa" w:w="15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Amounts exported in cents</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demo export, unmodified</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BLOCKED; exit code 1</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billing-interval column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demo export has none</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Listed as an assumption: every plan treated as monthly</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Report requested on a blocked file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autopsy without --divide-amounts-by</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Refuses; exit code 1; no report file is written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Units confirmed by the operator</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--divide-amounts-by 100</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READY; the division is recorded as an assumption</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Customers not worth contacting</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decision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330 of 472 customers left alone</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Engine reliability not proven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Always shown first: 58% of tests, 95% CI 42–72%</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Low-confidence recommendation</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row 1212</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47% shown in amber with a “thin evidence” caution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Effect too small to measure</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make holdout</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Every size fails to detect it; about 119,500 customers needed</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Razorpay epoch timestamps and paise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Automated tests (not on screen)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Timestamps parsed as seconds; paise blocked like cents</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 (mention only)</w:t>
            </w:r>
          </w:p>
        </w:tc>
      </w:tr>
    </w:tbl>
    <w:p>
      <w:pPr>
        <w:pStyle w:val="Heading1"/>
      </w:pPr>
      <w:r>
        <w:t xml:space="preserve">6. How to read the outputs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000"/>
        <w:gridCol w:w="6510"/>
        <w:gridCol w:w="5600"/>
      </w:tblGrid>
      <w:tr>
        <w:trPr>
          <w:cantSplit/>
          <w:tblHeader/>
        </w:trPr>
        <w:tc>
          <w:tcPr>
            <w:tcW w:type="dxa" w:w="30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Output</w:t>
            </w:r>
          </w:p>
        </w:tc>
        <w:tc>
          <w:tcPr>
            <w:tcW w:type="dxa" w:w="6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tells you</w:t>
            </w:r>
          </w:p>
        </w:tc>
        <w:tc>
          <w:tcPr>
            <w:tcW w:type="dxa" w:w="56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Action it informs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verdict</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Whether any figure computed from the file can be trusted; each check is ok or BLOCK, and each assumption is listed.</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BLOCKED: confirm units, dates or columns with the business before any report. Every assumption becomes a question for the client.</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Churn Autopsy report</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What churn costs per year, and each loss ranked by money; green is measured from the data, amber is estimated from benchmarks.</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Fix the largest measured leak first, usually failed-payment recovery, before spending on voluntary churn.</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Worklists (CSV)</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Unrecovered failed payments and recent departures, listed descriptively.</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Operational follow-up lists. They contain no risk scores or predictions, by design.</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 and headline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How reliable the engine is, and how many customers are worth contacting.</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Treat recommendations as suggestions; the offer mix is more trustworthy than individual names.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Recommendation row</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Expected gain and chance it pays for one customer, with why it pays, why them, why this offer, and any caution.</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Contact rows with a high chance of paying; treat amber rows (below 60%) as optional; do not contact customers marked “no offer”.</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Minimum detectable effect table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Whether the business is large enough to measure a campaign with a holdout.</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Keep a permanent holdout. Below the required size, report an interval, not a point estimate, and pool evidence.</w:t>
            </w:r>
          </w:p>
        </w:tc>
      </w:tr>
    </w:tbl>
    <w:p>
      <w:pPr>
        <w:pStyle w:val="Heading1"/>
      </w:pPr>
      <w:r>
        <w:t xml:space="preserve">7. Accuracy guardrails for narration and captions</w:t>
      </w:r>
    </w:p>
    <w:p>
      <w:pPr>
        <w:spacing w:after="100"/>
      </w:pPr>
      <w:r>
        <w:rPr>
          <w:color w:val="5F6F80"/>
        </w:rPr>
        <w:t xml:space="preserve">These claims are false or overstated. The evidence for each correction is in the paper and the commands above.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300"/>
        <w:gridCol w:w="6200"/>
        <w:gridCol w:w="4610"/>
      </w:tblGrid>
      <w:tr>
        <w:trPr>
          <w:cantSplit/>
          <w:tblHeader/>
        </w:trPr>
        <w:tc>
          <w:tcPr>
            <w:tcW w:type="dxa" w:w="4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Do not say</w:t>
            </w:r>
          </w:p>
        </w:tc>
        <w:tc>
          <w:tcPr>
            <w:tcW w:type="dxa" w:w="6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Say instead</w:t>
            </w:r>
          </w:p>
        </w:tc>
        <w:tc>
          <w:tcPr>
            <w:tcW w:type="dxa" w:w="46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Why</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model predicts churn with 80% accuracy.”</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churn model's AUC is 0.700.”</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Accuracy is 79.6%, below the 96.7% scored by predicting that nobody churns.</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“RetainIQ is production-ready and increases revenue.”</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delivery path runs end to end and is tested; the decision engine is validated on simulated and public data.”</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real client ROI has been measured yet.</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is what RetainIQ earns.”</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uses the simulator's true effects, so it is an upper bound.”</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It is the oracle row of the kill test.</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engine beats a single offer.”</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“It beat one well-chosen offer on 58% of tests, which is not distinguishable from chance.”</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95% CI 42–72% (D-058).</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doing nothing.”</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risk ranking on 93% of draws; it does not beat doing nothing.”</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Paper, Section VI-G.</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real business.”</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simulated business.” / “These demo rows are random.”</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dashboard, the sample report and the demo export are all synthetic.</w:t>
            </w:r>
          </w:p>
        </w:tc>
      </w:tr>
    </w:tbl>
    <w:p>
      <w:pPr>
        <w:pStyle w:val="Heading1"/>
      </w:pPr>
      <w:r>
        <w:t xml:space="preserve">8. Post-production and upload</w:t>
      </w:r>
    </w:p>
    <w:p>
      <w:pPr>
        <w:pStyle w:val="ListParagraph"/>
        <w:numPr>
          <w:ilvl w:val="0"/>
          <w:numId w:val="3"/>
        </w:numPr>
        <w:spacing w:after="70"/>
      </w:pPr>
      <w:r>
        <w:t xml:space="preserve">Assemble scenes in order. Trim dead air; keep typing visible. Speed up any wait longer than 10 seconds and label it “sped up”.</w:t>
      </w:r>
    </w:p>
    <w:p>
      <w:pPr>
        <w:pStyle w:val="ListParagraph"/>
        <w:numPr>
          <w:ilvl w:val="0"/>
          <w:numId w:val="3"/>
        </w:numPr>
        <w:spacing w:after="70"/>
      </w:pPr>
      <w:r>
        <w:t xml:space="preserve">Add the on-screen text for each scene as a lower third (bottom-left, 3–5 s).</w:t>
      </w:r>
    </w:p>
    <w:p>
      <w:pPr>
        <w:pStyle w:val="ListParagraph"/>
        <w:numPr>
          <w:ilvl w:val="0"/>
          <w:numId w:val="3"/>
        </w:numPr>
        <w:spacing w:after="70"/>
      </w:pPr>
      <w:r>
        <w:t xml:space="preserve">Add the highlights and zooms listed under Visual cues.</w:t>
      </w:r>
    </w:p>
    <w:p>
      <w:pPr>
        <w:pStyle w:val="ListParagraph"/>
        <w:numPr>
          <w:ilvl w:val="0"/>
          <w:numId w:val="3"/>
        </w:numPr>
        <w:spacing w:after="70"/>
      </w:pPr>
      <w:r>
        <w:t xml:space="preserve">Generate captions automatically, then correct every number and technical term (AUC, preflight, CATE, holdout). Export an SRT file.</w:t>
      </w:r>
    </w:p>
    <w:p>
      <w:pPr>
        <w:pStyle w:val="ListParagraph"/>
        <w:numPr>
          <w:ilvl w:val="0"/>
          <w:numId w:val="3"/>
        </w:numPr>
        <w:spacing w:after="70"/>
      </w:pPr>
      <w:r>
        <w:t xml:space="preserve">Normalise audio to about −16 LUFS and remove background noise.</w:t>
      </w:r>
    </w:p>
    <w:p>
      <w:pPr>
        <w:pStyle w:val="ListParagraph"/>
        <w:numPr>
          <w:ilvl w:val="0"/>
          <w:numId w:val="3"/>
        </w:numPr>
        <w:spacing w:after="70"/>
      </w:pPr>
      <w:r>
        <w:t xml:space="preserve">Export 1920 × 1080, 30 fps, H.264 at 8–12 Mbps. Play the exported file through once.</w:t>
      </w:r>
    </w:p>
    <w:p>
      <w:pPr>
        <w:pStyle w:val="ListParagraph"/>
        <w:numPr>
          <w:ilvl w:val="0"/>
          <w:numId w:val="3"/>
        </w:numPr>
        <w:spacing w:after="70"/>
      </w:pPr>
      <w:r>
        <w:t xml:space="preserve">Watch it against Section 7. Re-record any line that breaks a guardrail.</w:t>
      </w:r>
    </w:p>
    <w:p>
      <w:pPr>
        <w:pStyle w:val="ListParagraph"/>
        <w:numPr>
          <w:ilvl w:val="0"/>
          <w:numId w:val="3"/>
        </w:numPr>
        <w:spacing w:after="70"/>
      </w:pPr>
      <w:r>
        <w:t xml:space="preserve">Upload to Google Drive. Share → General access → “Anyone with the link”, role Viewer → Copy link.</w:t>
      </w:r>
    </w:p>
    <w:p>
      <w:pPr>
        <w:pStyle w:val="ListParagraph"/>
        <w:numPr>
          <w:ilvl w:val="0"/>
          <w:numId w:val="3"/>
        </w:numPr>
        <w:spacing w:after="70"/>
      </w:pPr>
      <w:r>
        <w:t xml:space="preserve">Open the link in a private browser window while signed out, to confirm it plays.</w:t>
      </w:r>
    </w:p>
    <w:p>
      <w:pPr>
        <w:pStyle w:val="ListParagraph"/>
        <w:numPr>
          <w:ilvl w:val="0"/>
          <w:numId w:val="3"/>
        </w:numPr>
        <w:spacing w:after="70"/>
      </w:pPr>
      <w:r>
        <w:t xml:space="preserve">Paste the link into the presentation on slide 1 (the text next to the “Watch the demo video” button) and slide 8 (the Demo video card): select the text, press ⌘K (Ctrl+K on Windows), paste, OK. Paste it on this document's cover as well.</w:t>
      </w:r>
    </w:p>
    <w:p>
      <w:pPr>
        <w:pStyle w:val="Heading1"/>
      </w:pPr>
      <w:r>
        <w:t xml:space="preserve">Appendix A. Command sheet, in recording order</w:t>
      </w:r>
    </w:p>
    <w:p>
      <w:pPr>
        <w:shd w:fill="F2F5F8" w:color="auto" w:val="clear"/>
        <w:spacing w:after="0" w:before="60"/>
        <w:ind w:left="200" w:right="200"/>
      </w:pPr>
      <w:r>
        <w:rPr>
          <w:rFonts w:ascii="Courier New" w:cs="Courier New" w:eastAsia="Courier New" w:hAnsi="Courier New"/>
          <w:color w:val="5F6F80"/>
          <w:sz w:val="18"/>
          <w:szCs w:val="18"/>
        </w:rPr>
        <w:t xml:space="preserve"># Scene 2</w:t>
      </w:r>
    </w:p>
    <w:p>
      <w:pPr>
        <w:shd w:fill="F2F5F8" w:color="auto" w:val="clear"/>
        <w:spacing w:after="0" w:before="0"/>
        <w:ind w:left="200" w:right="200"/>
      </w:pPr>
      <w:r>
        <w:rPr>
          <w:rFonts w:ascii="Courier New" w:cs="Courier New" w:eastAsia="Courier New" w:hAnsi="Courier New"/>
          <w:color w:val="12263A"/>
          <w:sz w:val="18"/>
          <w:szCs w:val="18"/>
        </w:rPr>
        <w:t xml:space="preserve">make killtest</w:t>
      </w:r>
    </w:p>
    <w:p>
      <w:pPr>
        <w:shd w:fill="F2F5F8" w:color="auto" w:val="clear"/>
        <w:spacing w:after="0" w:before="0"/>
        <w:ind w:left="200" w:right="200"/>
      </w:pPr>
      <w:r>
        <w:rPr>
          <w:rFonts w:ascii="Courier New" w:cs="Courier New" w:eastAsia="Courier New" w:hAnsi="Courier New"/>
          <w:color w:val="5F6F80"/>
          <w:sz w:val="18"/>
          <w:szCs w:val="18"/>
        </w:rPr>
        <w:t xml:space="preserve"># Scene 3</w:t>
      </w:r>
    </w:p>
    <w:p>
      <w:pPr>
        <w:shd w:fill="F2F5F8" w:color="auto" w:val="clear"/>
        <w:spacing w:after="0" w:before="0"/>
        <w:ind w:left="200" w:right="200"/>
      </w:pPr>
      <w:r>
        <w:rPr>
          <w:rFonts w:ascii="Courier New" w:cs="Courier New" w:eastAsia="Courier New" w:hAnsi="Courier New"/>
          <w:color w:val="12263A"/>
          <w:sz w:val="18"/>
          <w:szCs w:val="18"/>
        </w:rPr>
        <w:t xml:space="preserve">make demo-data</w:t>
      </w:r>
    </w:p>
    <w:p>
      <w:pPr>
        <w:shd w:fill="F2F5F8" w:color="auto" w:val="clear"/>
        <w:spacing w:after="0" w:before="0"/>
        <w:ind w:left="200" w:right="200"/>
      </w:pPr>
      <w:r>
        <w:rPr>
          <w:rFonts w:ascii="Courier New" w:cs="Courier New" w:eastAsia="Courier New" w:hAnsi="Courier New"/>
          <w:color w:val="12263A"/>
          <w:sz w:val="18"/>
          <w:szCs w:val="18"/>
        </w:rPr>
        <w:t xml:space="preserve">head -6 demo/subscriptions.csv</w:t>
      </w:r>
    </w:p>
    <w:p>
      <w:pPr>
        <w:shd w:fill="F2F5F8" w:color="auto" w:val="clear"/>
        <w:spacing w:after="0" w:before="0"/>
        <w:ind w:left="200" w:right="200"/>
      </w:pPr>
      <w:r>
        <w:rPr>
          <w:rFonts w:ascii="Courier New" w:cs="Courier New" w:eastAsia="Courier New" w:hAnsi="Courier New"/>
          <w:color w:val="5F6F80"/>
          <w:sz w:val="18"/>
          <w:szCs w:val="18"/>
        </w:rPr>
        <w:t xml:space="preserve"># Scene 4</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preflight --customers demo/customers.csv --subscriptions demo/subscriptions.csv</w:t>
      </w:r>
    </w:p>
    <w:p>
      <w:pPr>
        <w:shd w:fill="F2F5F8" w:color="auto" w:val="clear"/>
        <w:spacing w:after="0" w:before="0"/>
        <w:ind w:left="200" w:right="200"/>
      </w:pPr>
      <w:r>
        <w:rPr>
          <w:rFonts w:ascii="Courier New" w:cs="Courier New" w:eastAsia="Courier New" w:hAnsi="Courier New"/>
          <w:color w:val="12263A"/>
          <w:sz w:val="18"/>
          <w:szCs w:val="18"/>
        </w:rPr>
        <w:t xml:space="preserve">echo $?</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--out demo/blocked.html</w:t>
      </w:r>
    </w:p>
    <w:p>
      <w:pPr>
        <w:shd w:fill="F2F5F8" w:color="auto" w:val="clear"/>
        <w:spacing w:after="0" w:before="0"/>
        <w:ind w:left="200" w:right="200"/>
      </w:pPr>
      <w:r>
        <w:rPr>
          <w:rFonts w:ascii="Courier New" w:cs="Courier New" w:eastAsia="Courier New" w:hAnsi="Courier New"/>
          <w:color w:val="12263A"/>
          <w:sz w:val="18"/>
          <w:szCs w:val="18"/>
        </w:rPr>
        <w:t xml:space="preserve">ls demo/blocked.html</w:t>
      </w:r>
    </w:p>
    <w:p>
      <w:pPr>
        <w:shd w:fill="F2F5F8" w:color="auto" w:val="clear"/>
        <w:spacing w:after="0" w:before="0"/>
        <w:ind w:left="200" w:right="200"/>
      </w:pPr>
      <w:r>
        <w:rPr>
          <w:rFonts w:ascii="Courier New" w:cs="Courier New" w:eastAsia="Courier New" w:hAnsi="Courier New"/>
          <w:color w:val="5F6F80"/>
          <w:sz w:val="18"/>
          <w:szCs w:val="18"/>
        </w:rPr>
        <w:t xml:space="preserve"># Scene 5</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w:t>
      </w:r>
    </w:p>
    <w:p>
      <w:pPr>
        <w:shd w:fill="F2F5F8" w:color="auto" w:val="clear"/>
        <w:spacing w:after="0" w:before="0"/>
        <w:ind w:left="200" w:right="200"/>
      </w:pPr>
      <w:r>
        <w:rPr>
          <w:rFonts w:ascii="Courier New" w:cs="Courier New" w:eastAsia="Courier New" w:hAnsi="Courier New"/>
          <w:color w:val="12263A"/>
          <w:sz w:val="18"/>
          <w:szCs w:val="18"/>
        </w:rPr>
        <w:t xml:space="preserve">    --divide-amounts-by 100 --interval month --name "Acme Analytics (demo data)" --out demo/demo_autopsy.html --worklists</w:t>
      </w:r>
    </w:p>
    <w:p>
      <w:pPr>
        <w:shd w:fill="F2F5F8" w:color="auto" w:val="clear"/>
        <w:spacing w:after="0" w:before="0"/>
        <w:ind w:left="200" w:right="200"/>
      </w:pPr>
      <w:r>
        <w:rPr>
          <w:rFonts w:ascii="Courier New" w:cs="Courier New" w:eastAsia="Courier New" w:hAnsi="Courier New"/>
          <w:color w:val="12263A"/>
          <w:sz w:val="18"/>
          <w:szCs w:val="18"/>
        </w:rPr>
        <w:t xml:space="preserve">open sample_churn_autopsy.html</w:t>
      </w:r>
    </w:p>
    <w:p>
      <w:pPr>
        <w:shd w:fill="F2F5F8" w:color="auto" w:val="clear"/>
        <w:spacing w:after="0" w:before="0"/>
        <w:ind w:left="200" w:right="200"/>
      </w:pPr>
      <w:r>
        <w:rPr>
          <w:rFonts w:ascii="Courier New" w:cs="Courier New" w:eastAsia="Courier New" w:hAnsi="Courier New"/>
          <w:color w:val="5F6F80"/>
          <w:sz w:val="18"/>
          <w:szCs w:val="18"/>
        </w:rPr>
        <w:t xml:space="preserve"># Scenes 6-7</w:t>
      </w:r>
    </w:p>
    <w:p>
      <w:pPr>
        <w:shd w:fill="F2F5F8" w:color="auto" w:val="clear"/>
        <w:spacing w:after="0" w:before="0"/>
        <w:ind w:left="200" w:right="200"/>
      </w:pPr>
      <w:r>
        <w:rPr>
          <w:rFonts w:ascii="Courier New" w:cs="Courier New" w:eastAsia="Courier New" w:hAnsi="Courier New"/>
          <w:color w:val="12263A"/>
          <w:sz w:val="18"/>
          <w:szCs w:val="18"/>
        </w:rPr>
        <w:t xml:space="preserve">make dashboard</w:t>
      </w:r>
    </w:p>
    <w:p>
      <w:pPr>
        <w:shd w:fill="F2F5F8" w:color="auto" w:val="clear"/>
        <w:spacing w:after="0" w:before="0"/>
        <w:ind w:left="200" w:right="200"/>
      </w:pPr>
      <w:r>
        <w:rPr>
          <w:rFonts w:ascii="Courier New" w:cs="Courier New" w:eastAsia="Courier New" w:hAnsi="Courier New"/>
          <w:color w:val="12263A"/>
          <w:sz w:val="18"/>
          <w:szCs w:val="18"/>
        </w:rPr>
        <w:t xml:space="preserve">open retention_dashboard.html</w:t>
      </w:r>
    </w:p>
    <w:p>
      <w:pPr>
        <w:shd w:fill="F2F5F8" w:color="auto" w:val="clear"/>
        <w:spacing w:after="0" w:before="0"/>
        <w:ind w:left="200" w:right="200"/>
      </w:pPr>
      <w:r>
        <w:rPr>
          <w:rFonts w:ascii="Courier New" w:cs="Courier New" w:eastAsia="Courier New" w:hAnsi="Courier New"/>
          <w:color w:val="5F6F80"/>
          <w:sz w:val="18"/>
          <w:szCs w:val="18"/>
        </w:rPr>
        <w:t xml:space="preserve"># Scene 8</w:t>
      </w:r>
    </w:p>
    <w:p>
      <w:pPr>
        <w:shd w:fill="F2F5F8" w:color="auto" w:val="clear"/>
        <w:spacing w:after="0" w:before="0"/>
        <w:ind w:left="200" w:right="200"/>
      </w:pPr>
      <w:r>
        <w:rPr>
          <w:rFonts w:ascii="Courier New" w:cs="Courier New" w:eastAsia="Courier New" w:hAnsi="Courier New"/>
          <w:color w:val="12263A"/>
          <w:sz w:val="18"/>
          <w:szCs w:val="18"/>
        </w:rPr>
        <w:t xml:space="preserve">make holdout</w:t>
      </w:r>
    </w:p>
    <w:p>
      <w:pPr>
        <w:shd w:fill="F2F5F8" w:color="auto" w:val="clear"/>
        <w:spacing w:after="0" w:before="0"/>
        <w:ind w:left="200" w:right="200"/>
      </w:pPr>
      <w:r>
        <w:rPr>
          <w:rFonts w:ascii="Courier New" w:cs="Courier New" w:eastAsia="Courier New" w:hAnsi="Courier New"/>
          <w:color w:val="5F6F80"/>
          <w:sz w:val="18"/>
          <w:szCs w:val="18"/>
        </w:rPr>
        <w:t xml:space="preserve"># Scene 9 (pre-recorded)</w:t>
      </w:r>
    </w:p>
    <w:p>
      <w:pPr>
        <w:shd w:fill="F2F5F8" w:color="auto" w:val="clear"/>
        <w:spacing w:after="140" w:before="0"/>
        <w:ind w:left="200" w:right="200"/>
      </w:pPr>
      <w:r>
        <w:rPr>
          <w:rFonts w:ascii="Courier New" w:cs="Courier New" w:eastAsia="Courier New" w:hAnsi="Courier New"/>
          <w:color w:val="12263A"/>
          <w:sz w:val="18"/>
          <w:szCs w:val="18"/>
        </w:rPr>
        <w:t xml:space="preserve">make check</w:t>
      </w:r>
    </w:p>
    <w:sectPr>
      <w:footerReference w:type="default" r:id="rId7"/>
      <w:pgSz w:w="16838" w:h="11906"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demo video · script and storyboard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90" w:before="20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137ba7702ff63e186504bc1e7754dfdf5224880.png"/><Relationship Id="rId9" Type="http://schemas.openxmlformats.org/officeDocument/2006/relationships/image" Target="media/9a76331a8c0bb6de56d7d0bbc5d1be5370f473c4.png"/><Relationship Id="rId10" Type="http://schemas.openxmlformats.org/officeDocument/2006/relationships/image" Target="media/cf8ea8d851a4781dfcca1f242777fdb8dd64c232.png"/><Relationship Id="rId11" Type="http://schemas.openxmlformats.org/officeDocument/2006/relationships/image" Target="media/be2ab36d6aaed3f2302516a6f9e7cfba42173648.png"/><Relationship Id="rId12" Type="http://schemas.openxmlformats.org/officeDocument/2006/relationships/image" Target="media/b9a98a355010683885c73b8e1a2421d855db075b.png"/><Relationship Id="rId13" Type="http://schemas.openxmlformats.org/officeDocument/2006/relationships/image" Target="media/55316214866817bce097a92a95a897cfcf257b46.png"/><Relationship Id="rId14" Type="http://schemas.openxmlformats.org/officeDocument/2006/relationships/image" Target="media/7d69f976bc26738f498dd8e7f89fbf0de8254fff.png"/><Relationship Id="rId15" Type="http://schemas.openxmlformats.org/officeDocument/2006/relationships/image" Target="media/f6af61f7c8c765a70f2f2094a4ec635894bad72a.png"/><Relationship Id="rId16" Type="http://schemas.openxmlformats.org/officeDocument/2006/relationships/image" Target="media/8683b8360d0c67ebb89bb017db33a611627618aa.png"/><Relationship Id="rId17" Type="http://schemas.openxmlformats.org/officeDocument/2006/relationships/image" Target="media/959d85b7b52974cb7442c8960e90cd042b1c1aaf.png"/><Relationship Id="rId18" Type="http://schemas.openxmlformats.org/officeDocument/2006/relationships/image" Target="media/cbb5ef3318bb0479ee1ad64abf88478f5eac4042.png"/><Relationship Id="rId19" Type="http://schemas.openxmlformats.org/officeDocument/2006/relationships/image" Target="media/466cf8d05e67858c89e7a32fa26f4c2775b20be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demo video: script and storyboard</dc:title>
  <dc:creator>Prasham Jain</dc:creator>
  <cp:lastModifiedBy>Un-named</cp:lastModifiedBy>
  <cp:revision>1</cp:revision>
  <dcterms:created xsi:type="dcterms:W3CDTF">2026-09-15T22:17:38.838Z</dcterms:created>
  <dcterms:modified xsi:type="dcterms:W3CDTF">2026-09-15T22:17:38.841Z</dcterms:modified>
</cp:coreProperties>
</file>

<file path=docProps/custom.xml><?xml version="1.0" encoding="utf-8"?>
<Properties xmlns="http://schemas.openxmlformats.org/officeDocument/2006/custom-properties" xmlns:vt="http://schemas.openxmlformats.org/officeDocument/2006/docPropsVTypes"/>
</file>