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13"/>
        <w:ind w:hanging="0" w:left="0" w:right="0"/>
        <w:jc w:val="left"/>
        <w:rPr/>
      </w:pPr>
      <w:bookmarkStart w:id="0" w:name="amazon-lightsail-paas-lite-cloud-infrast"/>
      <w:bookmarkEnd w:id="0"/>
      <w:r>
        <w:rPr/>
        <w:t>Amazon Lightsail (PaaS-Lite) — Cloud Infrastructure</w:t>
      </w:r>
    </w:p>
    <w:p>
      <w:pPr>
        <w:pStyle w:val="Heading3"/>
        <w:bidi w:val="0"/>
        <w:ind w:hanging="0" w:left="0" w:right="0"/>
        <w:jc w:val="left"/>
        <w:rPr/>
      </w:pPr>
      <w:bookmarkStart w:id="1" w:name="a-technical-report"/>
      <w:bookmarkEnd w:id="1"/>
      <w:r>
        <w:rPr/>
        <w:t>A Technical Report</w:t>
      </w:r>
    </w:p>
    <w:p>
      <w:pPr>
        <w:pStyle w:val="BodyText"/>
        <w:bidi w:val="0"/>
        <w:rPr/>
      </w:pPr>
      <w:r>
        <w:rPr>
          <w:rStyle w:val="Strong"/>
        </w:rPr>
        <w:t>Submitted by:</w:t>
      </w:r>
      <w:r>
        <w:rPr/>
        <w:t xml:space="preserve"> Hridiyansh Shukla</w:t>
        <w:br/>
      </w:r>
      <w:r>
        <w:rPr>
          <w:rStyle w:val="Strong"/>
        </w:rPr>
        <w:t>Registration Number:</w:t>
      </w:r>
      <w:r>
        <w:rPr/>
        <w:t xml:space="preserve"> 2427030591</w:t>
        <w:br/>
      </w:r>
      <w:r>
        <w:rPr>
          <w:rStyle w:val="Strong"/>
        </w:rPr>
        <w:t>Topic:</w:t>
      </w:r>
      <w:r>
        <w:rPr/>
        <w:t xml:space="preserve"> Amazon Lightsail (PaaS-Lite) — Cloud Infrastructure</w:t>
        <w:br/>
      </w:r>
      <w:r>
        <w:rPr>
          <w:rStyle w:val="Strong"/>
        </w:rPr>
        <w:t>Date:</w:t>
      </w:r>
      <w:r>
        <w:rPr/>
        <w:t xml:space="preserve"> August 2026</w:t>
      </w:r>
    </w:p>
    <w:p>
      <w:pPr>
        <w:pStyle w:val="HorizontalLine"/>
        <w:bidi w:val="0"/>
        <w:jc w:val="left"/>
        <w:rPr/>
      </w:pPr>
      <w:r>
        <w:rPr/>
      </w:r>
    </w:p>
    <w:p>
      <w:pPr>
        <w:pStyle w:val="Heading2"/>
        <w:bidi w:val="0"/>
        <w:ind w:hanging="0" w:left="0" w:right="0"/>
        <w:jc w:val="left"/>
        <w:rPr/>
      </w:pPr>
      <w:bookmarkStart w:id="2" w:name="abstract"/>
      <w:bookmarkEnd w:id="2"/>
      <w:r>
        <w:rPr/>
        <w:t>Abstract</w:t>
      </w:r>
    </w:p>
    <w:p>
      <w:pPr>
        <w:pStyle w:val="BodyText"/>
        <w:bidi w:val="0"/>
        <w:rPr/>
      </w:pPr>
      <w:r>
        <w:rPr/>
        <w:t xml:space="preserve">Amazon Lightsail is Amazon Web Services' fixed-price virtual private server (VPS) product, introduced in November 2016 to serve users for whom Amazon EC2 offers more configurability than they need. This report examines Lightsail as an example of a distinctive position on the cloud abstraction ladder — one that is neither pure Infrastructure-as-a-Service nor pure Platform-as-a-Service, and which this report characterises as </w:t>
      </w:r>
      <w:r>
        <w:rPr>
          <w:rStyle w:val="Emphasis"/>
        </w:rPr>
        <w:t>PaaS-Lite</w:t>
      </w:r>
      <w:r>
        <w:rPr/>
        <w:t>: the operating system and application runtime are pre-built for the user in the manner of a PaaS, yet full root access is retained in the manner of an IaaS.</w:t>
      </w:r>
    </w:p>
    <w:p>
      <w:pPr>
        <w:pStyle w:val="BodyText"/>
        <w:bidi w:val="0"/>
        <w:rPr/>
      </w:pPr>
      <w:r>
        <w:rPr/>
        <w:t xml:space="preserve">The report sets out the service's architecture, showing that each Lightsail resource is an existing AWS primitive with its configuration surface deliberately reduced. It documents the complete resource catalogue, the blueprint and bundle model, and the published price list as of August 2026. A worked cost comparison against an equivalent EC2 deployment demonstrates that Lightsail's economic advantage lies almost entirely in its included data-transfer allowance rather than in cheaper compute — at three terabytes of monthly egress the modelled EC2 build costs </w:t>
      </w:r>
      <w:r>
        <w:rPr>
          <w:rStyle w:val="Strong"/>
        </w:rPr>
        <w:t>$291.11</w:t>
      </w:r>
      <w:r>
        <w:rPr/>
        <w:t xml:space="preserve"> against Lightsail's flat </w:t>
      </w:r>
      <w:r>
        <w:rPr>
          <w:rStyle w:val="Strong"/>
        </w:rPr>
        <w:t>$12.00</w:t>
      </w:r>
      <w:r>
        <w:rPr/>
        <w:t xml:space="preserve">, while at one hundred gigabytes the same comparison narrows to </w:t>
      </w:r>
      <w:r>
        <w:rPr>
          <w:rStyle w:val="Strong"/>
        </w:rPr>
        <w:t>$23.63</w:t>
      </w:r>
      <w:r>
        <w:rPr/>
        <w:t xml:space="preserve"> against </w:t>
      </w:r>
      <w:r>
        <w:rPr>
          <w:rStyle w:val="Strong"/>
        </w:rPr>
        <w:t>$12.00</w:t>
      </w:r>
      <w:r>
        <w:rPr/>
        <w:t>.</w:t>
      </w:r>
    </w:p>
    <w:p>
      <w:pPr>
        <w:pStyle w:val="BodyText"/>
        <w:bidi w:val="0"/>
        <w:rPr/>
      </w:pPr>
      <w:r>
        <w:rPr/>
        <w:t>The report then evaluates the service critically. Lightsail offers no instance auto scaling, no Reserved Instances or Savings Plans, and only coarse access control, and it is capped by default at twenty instances per account. These are argued to be deliberate consequences of the fixed-price model rather than defects, and each is identified as a signal that a workload has outgrown the service. The report concludes that Lightsail is best understood not as a cheaper AWS but as a deliberately narrower one, designed so that outgrowing it — through the built-in snapshot export to EC2 — is the expected outcome rather than a failure.</w:t>
      </w:r>
    </w:p>
    <w:p>
      <w:pPr>
        <w:pStyle w:val="HorizontalLine"/>
        <w:bidi w:val="0"/>
        <w:jc w:val="left"/>
        <w:rPr/>
      </w:pPr>
      <w:r>
        <w:rPr/>
      </w:r>
    </w:p>
    <w:p>
      <w:pPr>
        <w:pStyle w:val="Heading2"/>
        <w:bidi w:val="0"/>
        <w:ind w:hanging="0" w:left="0" w:right="0"/>
        <w:jc w:val="left"/>
        <w:rPr/>
      </w:pPr>
      <w:bookmarkStart w:id="3" w:name="table-of-contents"/>
      <w:bookmarkEnd w:id="3"/>
      <w:r>
        <w:rPr/>
        <w:t>Table of Contents</w:t>
      </w:r>
    </w:p>
    <w:p>
      <w:pPr>
        <w:pStyle w:val="BodyText"/>
        <w:numPr>
          <w:ilvl w:val="0"/>
          <w:numId w:val="1"/>
        </w:numPr>
        <w:tabs>
          <w:tab w:val="clear" w:pos="1134"/>
          <w:tab w:val="left" w:pos="709" w:leader="none"/>
        </w:tabs>
        <w:bidi w:val="0"/>
        <w:spacing w:before="0" w:after="0"/>
        <w:ind w:hanging="283" w:left="709"/>
        <w:rPr/>
      </w:pPr>
      <w:hyperlink w:anchor="1-introduction">
        <w:r>
          <w:rPr>
            <w:rStyle w:val="Hyperlink"/>
          </w:rPr>
          <w:t>Introduction</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2-cloud-service-models-and-lightsails-po">
        <w:r>
          <w:rPr>
            <w:rStyle w:val="Hyperlink"/>
          </w:rPr>
          <w:t>Cloud Service Models and Lightsail's Position</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3-amazon-lightsail-service-overview">
        <w:r>
          <w:rPr>
            <w:rStyle w:val="Hyperlink"/>
          </w:rPr>
          <w:t>Amazon Lightsail: Service Overview</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4-system-architecture">
        <w:r>
          <w:rPr>
            <w:rStyle w:val="Hyperlink"/>
          </w:rPr>
          <w:t>System Architecture</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5-core-components-and-resource-catalogue">
        <w:r>
          <w:rPr>
            <w:rStyle w:val="Hyperlink"/>
          </w:rPr>
          <w:t>Core Components and Resource Catalogue</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6-the-pricing-model">
        <w:r>
          <w:rPr>
            <w:rStyle w:val="Hyperlink"/>
          </w:rPr>
          <w:t>The Pricing Model</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7-networking-and-security">
        <w:r>
          <w:rPr>
            <w:rStyle w:val="Hyperlink"/>
          </w:rPr>
          <w:t>Networking and Security</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8-comparative-analysis">
        <w:r>
          <w:rPr>
            <w:rStyle w:val="Hyperlink"/>
          </w:rPr>
          <w:t>Comparative Analysis</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9-practical-deployment">
        <w:r>
          <w:rPr>
            <w:rStyle w:val="Hyperlink"/>
          </w:rPr>
          <w:t>Practical Deployment</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10-application-areas">
        <w:r>
          <w:rPr>
            <w:rStyle w:val="Hyperlink"/>
          </w:rPr>
          <w:t>Application Areas</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11-limitations-and-critical-evaluation">
        <w:r>
          <w:rPr>
            <w:rStyle w:val="Hyperlink"/>
          </w:rPr>
          <w:t>Limitations and Critical Evaluation</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12-the-migration-path">
        <w:r>
          <w:rPr>
            <w:rStyle w:val="Hyperlink"/>
          </w:rPr>
          <w:t>The Migration Path</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13-conclusion">
        <w:r>
          <w:rPr>
            <w:rStyle w:val="Hyperlink"/>
          </w:rPr>
          <w:t>Conclusion</w:t>
        </w:r>
      </w:hyperlink>
      <w:r>
        <w:rPr/>
        <w:t xml:space="preserve"> </w:t>
      </w:r>
    </w:p>
    <w:p>
      <w:pPr>
        <w:pStyle w:val="BodyText"/>
        <w:numPr>
          <w:ilvl w:val="0"/>
          <w:numId w:val="1"/>
        </w:numPr>
        <w:tabs>
          <w:tab w:val="clear" w:pos="1134"/>
          <w:tab w:val="left" w:pos="709" w:leader="none"/>
        </w:tabs>
        <w:bidi w:val="0"/>
        <w:ind w:hanging="283" w:left="709"/>
        <w:rPr/>
      </w:pPr>
      <w:hyperlink w:anchor="14-references">
        <w:r>
          <w:rPr>
            <w:rStyle w:val="Hyperlink"/>
          </w:rPr>
          <w:t>References</w:t>
        </w:r>
      </w:hyperlink>
      <w:r>
        <w:rPr/>
        <w:t xml:space="preserve"> </w:t>
      </w:r>
    </w:p>
    <w:p>
      <w:pPr>
        <w:pStyle w:val="HorizontalLine"/>
        <w:bidi w:val="0"/>
        <w:jc w:val="left"/>
        <w:rPr/>
      </w:pPr>
      <w:r>
        <w:rPr/>
      </w:r>
    </w:p>
    <w:p>
      <w:pPr>
        <w:pStyle w:val="Heading2newpage"/>
        <w:bidi w:val="0"/>
        <w:ind w:hanging="0" w:left="0" w:right="0"/>
        <w:jc w:val="left"/>
        <w:rPr/>
      </w:pPr>
      <w:bookmarkStart w:id="4" w:name="1-introduction"/>
      <w:bookmarkEnd w:id="4"/>
      <w:r>
        <w:rPr/>
        <w:t>1. Introduction</w:t>
      </w:r>
    </w:p>
    <w:p>
      <w:pPr>
        <w:pStyle w:val="Heading3"/>
        <w:bidi w:val="0"/>
        <w:ind w:hanging="0" w:left="0" w:right="0"/>
        <w:jc w:val="left"/>
        <w:rPr/>
      </w:pPr>
      <w:bookmarkStart w:id="5" w:name="11-background"/>
      <w:bookmarkEnd w:id="5"/>
      <w:r>
        <w:rPr/>
        <w:t>1.1 Background</w:t>
      </w:r>
    </w:p>
    <w:p>
      <w:pPr>
        <w:pStyle w:val="BodyText"/>
        <w:bidi w:val="0"/>
        <w:rPr/>
      </w:pPr>
      <w:r>
        <w:rPr/>
        <w:t>Cloud computing is conventionally described as a ladder of abstraction. At the bottom, Infrastructure-as-a-Service (IaaS) rents raw virtualised hardware and leaves everything above the hypervisor to the customer. At the top, Software-as-a-Service (SaaS) delivers a finished application and hides everything beneath it. Platform-as-a-Service (PaaS) occupies the middle, providing a managed runtime into which the customer deploys code without ever administering a server.</w:t>
      </w:r>
    </w:p>
    <w:p>
      <w:pPr>
        <w:pStyle w:val="BodyText"/>
        <w:bidi w:val="0"/>
        <w:rPr/>
      </w:pPr>
      <w:r>
        <w:rPr/>
        <w:t>Amazon Elastic Compute Cloud (EC2), launched in 2006, is the archetypal IaaS offering and remains the foundation of the AWS compute portfolio. Its defining characteristic is configurability: more than 750 instance types, fully user-designed virtual networking, and per-second billing across independently metered dimensions. That configurability is the reason EC2 can host essentially any workload.</w:t>
      </w:r>
    </w:p>
    <w:p>
      <w:pPr>
        <w:pStyle w:val="Heading3"/>
        <w:bidi w:val="0"/>
        <w:ind w:hanging="0" w:left="0" w:right="0"/>
        <w:jc w:val="left"/>
        <w:rPr/>
      </w:pPr>
      <w:bookmarkStart w:id="6" w:name="12-problem-statement"/>
      <w:bookmarkEnd w:id="6"/>
      <w:r>
        <w:rPr/>
        <w:t>1.2 Problem Statement</w:t>
      </w:r>
    </w:p>
    <w:p>
      <w:pPr>
        <w:pStyle w:val="BodyText"/>
        <w:bidi w:val="0"/>
        <w:rPr/>
      </w:pPr>
      <w:r>
        <w:rPr/>
        <w:t>The same configurability is a barrier for a large class of users. Before a bare EC2 instance can serve a single HTTP request, the operator must create or select a Virtual Private Cloud, a subnet, a route table, an internet gateway, a security group, an Elastic Block Store volume, an SSH key pair and an Elastic IP address — eight distinct resources, most of which have no bearing on the application itself.</w:t>
      </w:r>
    </w:p>
    <w:p>
      <w:pPr>
        <w:pStyle w:val="BodyText"/>
        <w:bidi w:val="0"/>
        <w:rPr/>
      </w:pPr>
      <w:r>
        <w:rPr/>
        <w:t>Three specific difficulties follow:</w:t>
      </w:r>
    </w:p>
    <w:p>
      <w:pPr>
        <w:pStyle w:val="BodyText"/>
        <w:numPr>
          <w:ilvl w:val="0"/>
          <w:numId w:val="2"/>
        </w:numPr>
        <w:tabs>
          <w:tab w:val="clear" w:pos="1134"/>
          <w:tab w:val="left" w:pos="709" w:leader="none"/>
        </w:tabs>
        <w:bidi w:val="0"/>
        <w:spacing w:before="0" w:after="0"/>
        <w:ind w:hanging="283" w:left="709"/>
        <w:rPr/>
      </w:pPr>
      <w:r>
        <w:rPr>
          <w:rStyle w:val="Strong"/>
        </w:rPr>
        <w:t>Decision burden.</w:t>
      </w:r>
      <w:r>
        <w:rPr/>
        <w:t xml:space="preserve"> The number of choices required before deployment is disproportionate to the simplicity of the workload. A personal blog requires the same networking design as a distributed system. </w:t>
      </w:r>
    </w:p>
    <w:p>
      <w:pPr>
        <w:pStyle w:val="BodyText"/>
        <w:numPr>
          <w:ilvl w:val="0"/>
          <w:numId w:val="2"/>
        </w:numPr>
        <w:tabs>
          <w:tab w:val="clear" w:pos="1134"/>
          <w:tab w:val="left" w:pos="709" w:leader="none"/>
        </w:tabs>
        <w:bidi w:val="0"/>
        <w:spacing w:before="0" w:after="0"/>
        <w:ind w:hanging="283" w:left="709"/>
        <w:rPr/>
      </w:pPr>
      <w:r>
        <w:rPr>
          <w:rStyle w:val="Strong"/>
        </w:rPr>
        <w:t>Cost unpredictability.</w:t>
      </w:r>
      <w:r>
        <w:rPr/>
        <w:t xml:space="preserve"> EC2 bills compute, storage, outbound data transfer and the public IPv4 address on four separate meters. A small operator cannot forecast the next invoice with confidence, and outbound data transfer in particular scales in a way that surprises inexperienced users. </w:t>
      </w:r>
    </w:p>
    <w:p>
      <w:pPr>
        <w:pStyle w:val="BodyText"/>
        <w:numPr>
          <w:ilvl w:val="0"/>
          <w:numId w:val="2"/>
        </w:numPr>
        <w:tabs>
          <w:tab w:val="clear" w:pos="1134"/>
          <w:tab w:val="left" w:pos="709" w:leader="none"/>
        </w:tabs>
        <w:bidi w:val="0"/>
        <w:ind w:hanging="283" w:left="709"/>
        <w:rPr/>
      </w:pPr>
      <w:r>
        <w:rPr>
          <w:rStyle w:val="Strong"/>
        </w:rPr>
        <w:t>Skills mismatch.</w:t>
      </w:r>
      <w:r>
        <w:rPr/>
        <w:t xml:space="preserve"> Students, freelancers, designers and small businesses typically require a running server rather than expertise in cloud architecture. </w:t>
      </w:r>
    </w:p>
    <w:p>
      <w:pPr>
        <w:pStyle w:val="BodyText"/>
        <w:bidi w:val="0"/>
        <w:rPr/>
      </w:pPr>
      <w:r>
        <w:rPr/>
        <w:t>Amazon Lightsail was introduced to address precisely this gap.</w:t>
      </w:r>
    </w:p>
    <w:p>
      <w:pPr>
        <w:pStyle w:val="Heading3"/>
        <w:bidi w:val="0"/>
        <w:ind w:hanging="0" w:left="0" w:right="0"/>
        <w:jc w:val="left"/>
        <w:rPr/>
      </w:pPr>
      <w:bookmarkStart w:id="7" w:name="13-objectives-and-scope"/>
      <w:bookmarkEnd w:id="7"/>
      <w:r>
        <w:rPr/>
        <w:t>1.3 Objectives and Scope</w:t>
      </w:r>
    </w:p>
    <w:p>
      <w:pPr>
        <w:pStyle w:val="BodyText"/>
        <w:bidi w:val="0"/>
        <w:rPr/>
      </w:pPr>
      <w:r>
        <w:rPr/>
        <w:t>This report aims to:</w:t>
      </w:r>
    </w:p>
    <w:p>
      <w:pPr>
        <w:pStyle w:val="BodyText"/>
        <w:numPr>
          <w:ilvl w:val="0"/>
          <w:numId w:val="3"/>
        </w:numPr>
        <w:tabs>
          <w:tab w:val="clear" w:pos="1134"/>
          <w:tab w:val="left" w:pos="709" w:leader="none"/>
        </w:tabs>
        <w:bidi w:val="0"/>
        <w:spacing w:before="0" w:after="0"/>
        <w:ind w:hanging="283" w:left="709"/>
        <w:rPr/>
      </w:pPr>
      <w:r>
        <w:rPr/>
        <w:t xml:space="preserve">position Lightsail accurately within the cloud service model taxonomy, and justify the </w:t>
      </w:r>
      <w:r>
        <w:rPr>
          <w:rStyle w:val="Emphasis"/>
        </w:rPr>
        <w:t>PaaS-Lite</w:t>
      </w:r>
      <w:r>
        <w:rPr/>
        <w:t xml:space="preserve"> label; </w:t>
      </w:r>
    </w:p>
    <w:p>
      <w:pPr>
        <w:pStyle w:val="BodyText"/>
        <w:numPr>
          <w:ilvl w:val="0"/>
          <w:numId w:val="3"/>
        </w:numPr>
        <w:tabs>
          <w:tab w:val="clear" w:pos="1134"/>
          <w:tab w:val="left" w:pos="709" w:leader="none"/>
        </w:tabs>
        <w:bidi w:val="0"/>
        <w:spacing w:before="0" w:after="0"/>
        <w:ind w:hanging="283" w:left="709"/>
        <w:rPr/>
      </w:pPr>
      <w:r>
        <w:rPr/>
        <w:t xml:space="preserve">describe its architecture and demonstrate its relationship to underlying AWS services; </w:t>
      </w:r>
    </w:p>
    <w:p>
      <w:pPr>
        <w:pStyle w:val="BodyText"/>
        <w:numPr>
          <w:ilvl w:val="0"/>
          <w:numId w:val="3"/>
        </w:numPr>
        <w:tabs>
          <w:tab w:val="clear" w:pos="1134"/>
          <w:tab w:val="left" w:pos="709" w:leader="none"/>
        </w:tabs>
        <w:bidi w:val="0"/>
        <w:spacing w:before="0" w:after="0"/>
        <w:ind w:hanging="283" w:left="709"/>
        <w:rPr/>
      </w:pPr>
      <w:r>
        <w:rPr/>
        <w:t xml:space="preserve">document the complete resource catalogue and the published pricing model as of August 2026; </w:t>
      </w:r>
    </w:p>
    <w:p>
      <w:pPr>
        <w:pStyle w:val="BodyText"/>
        <w:numPr>
          <w:ilvl w:val="0"/>
          <w:numId w:val="3"/>
        </w:numPr>
        <w:tabs>
          <w:tab w:val="clear" w:pos="1134"/>
          <w:tab w:val="left" w:pos="709" w:leader="none"/>
        </w:tabs>
        <w:bidi w:val="0"/>
        <w:spacing w:before="0" w:after="0"/>
        <w:ind w:hanging="283" w:left="709"/>
        <w:rPr/>
      </w:pPr>
      <w:r>
        <w:rPr/>
        <w:t xml:space="preserve">quantify the cost difference against an equivalent EC2 deployment using a reproducible model; </w:t>
      </w:r>
    </w:p>
    <w:p>
      <w:pPr>
        <w:pStyle w:val="BodyText"/>
        <w:numPr>
          <w:ilvl w:val="0"/>
          <w:numId w:val="3"/>
        </w:numPr>
        <w:tabs>
          <w:tab w:val="clear" w:pos="1134"/>
          <w:tab w:val="left" w:pos="709" w:leader="none"/>
        </w:tabs>
        <w:bidi w:val="0"/>
        <w:spacing w:before="0" w:after="0"/>
        <w:ind w:hanging="283" w:left="709"/>
        <w:rPr/>
      </w:pPr>
      <w:r>
        <w:rPr/>
        <w:t xml:space="preserve">compare the service with EC2 and with competing platforms; and </w:t>
      </w:r>
    </w:p>
    <w:p>
      <w:pPr>
        <w:pStyle w:val="BodyText"/>
        <w:numPr>
          <w:ilvl w:val="0"/>
          <w:numId w:val="3"/>
        </w:numPr>
        <w:tabs>
          <w:tab w:val="clear" w:pos="1134"/>
          <w:tab w:val="left" w:pos="709" w:leader="none"/>
        </w:tabs>
        <w:bidi w:val="0"/>
        <w:ind w:hanging="283" w:left="709"/>
        <w:rPr/>
      </w:pPr>
      <w:r>
        <w:rPr/>
        <w:t xml:space="preserve">evaluate its limitations critically and identify the conditions under which it should be abandoned. </w:t>
      </w:r>
    </w:p>
    <w:p>
      <w:pPr>
        <w:pStyle w:val="BodyText"/>
        <w:bidi w:val="0"/>
        <w:rPr/>
      </w:pPr>
      <w:r>
        <w:rPr/>
        <w:t>The scope is limited to the general-purpose Lightsail service. Lightsail for Research, a related offering that packages CPU and GPU research workstations under the same commercial model, is noted where relevant but not examined in depth.</w:t>
      </w:r>
    </w:p>
    <w:p>
      <w:pPr>
        <w:pStyle w:val="HorizontalLine"/>
        <w:bidi w:val="0"/>
        <w:jc w:val="left"/>
        <w:rPr/>
      </w:pPr>
      <w:r>
        <w:rPr/>
      </w:r>
    </w:p>
    <w:p>
      <w:pPr>
        <w:pStyle w:val="Heading2"/>
        <w:bidi w:val="0"/>
        <w:ind w:hanging="0" w:left="0" w:right="0"/>
        <w:jc w:val="left"/>
        <w:rPr/>
      </w:pPr>
      <w:bookmarkStart w:id="8" w:name="2-cloud-service-models-and-lightsails-po"/>
      <w:bookmarkEnd w:id="8"/>
      <w:r>
        <w:rPr/>
        <w:t>2. Cloud Service Models and Lightsail's Position</w:t>
      </w:r>
    </w:p>
    <w:p>
      <w:pPr>
        <w:pStyle w:val="Heading3"/>
        <w:bidi w:val="0"/>
        <w:ind w:hanging="0" w:left="0" w:right="0"/>
        <w:jc w:val="left"/>
        <w:rPr/>
      </w:pPr>
      <w:bookmarkStart w:id="9" w:name="21-the-division-of-responsibility"/>
      <w:bookmarkEnd w:id="9"/>
      <w:r>
        <w:rPr/>
        <w:t>2.1 The Division of Responsibility</w:t>
      </w:r>
    </w:p>
    <w:p>
      <w:pPr>
        <w:pStyle w:val="BodyText"/>
        <w:bidi w:val="0"/>
        <w:rPr/>
      </w:pPr>
      <w:r>
        <w:rPr/>
        <w:t>The clearest way to distinguish cloud service models is by which layers of the stack the provider operates and which the customer retains. Figure 1 sets out that division across five models.</w:t>
      </w:r>
    </w:p>
    <w:p>
      <w:pPr>
        <w:pStyle w:val="BodyText"/>
        <w:bidi w:val="0"/>
        <w:rPr/>
      </w:pPr>
      <w:r>
        <w:rPr/>
        <w:drawing>
          <wp:inline distT="0" distB="0" distL="0" distR="0">
            <wp:extent cx="20317460" cy="11936095"/>
            <wp:effectExtent l="0" t="0" r="0" b="0"/>
            <wp:docPr id="1" name="Image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Figure 1"/>
                    <pic:cNvPicPr>
                      <a:picLocks noChangeAspect="1" noChangeArrowheads="1"/>
                    </pic:cNvPicPr>
                  </pic:nvPicPr>
                  <pic:blipFill>
                    <a:blip r:embed="rId2"/>
                    <a:stretch>
                      <a:fillRect/>
                    </a:stretch>
                  </pic:blipFill>
                  <pic:spPr bwMode="auto">
                    <a:xfrm>
                      <a:off x="0" y="0"/>
                      <a:ext cx="20317460" cy="11936095"/>
                    </a:xfrm>
                    <a:prstGeom prst="rect">
                      <a:avLst/>
                    </a:prstGeom>
                  </pic:spPr>
                </pic:pic>
              </a:graphicData>
            </a:graphic>
          </wp:inline>
        </w:drawing>
      </w:r>
    </w:p>
    <w:p>
      <w:pPr>
        <w:pStyle w:val="BodyTextcaption"/>
        <w:bidi w:val="0"/>
        <w:rPr/>
      </w:pPr>
      <w:r>
        <w:rPr>
          <w:rStyle w:val="Strong"/>
        </w:rPr>
        <w:t>Figure 1</w:t>
      </w:r>
      <w:r>
        <w:rPr/>
        <w:t xml:space="preserve"> — Division of management responsibility across cloud service models.</w:t>
      </w:r>
    </w:p>
    <w:p>
      <w:pPr>
        <w:pStyle w:val="Heading3"/>
        <w:bidi w:val="0"/>
        <w:ind w:hanging="0" w:left="0" w:right="0"/>
        <w:jc w:val="left"/>
        <w:rPr/>
      </w:pPr>
      <w:bookmarkStart w:id="10" w:name="22-reading-the-figure"/>
      <w:bookmarkEnd w:id="10"/>
      <w:r>
        <w:rPr/>
        <w:t>2.2 Reading the Figure</w:t>
      </w:r>
    </w:p>
    <w:p>
      <w:pPr>
        <w:pStyle w:val="BodyText"/>
        <w:numPr>
          <w:ilvl w:val="0"/>
          <w:numId w:val="4"/>
        </w:numPr>
        <w:tabs>
          <w:tab w:val="clear" w:pos="1134"/>
          <w:tab w:val="left" w:pos="709" w:leader="none"/>
        </w:tabs>
        <w:bidi w:val="0"/>
        <w:spacing w:before="0" w:after="0"/>
        <w:ind w:hanging="283" w:left="709"/>
        <w:rPr/>
      </w:pPr>
      <w:r>
        <w:rPr>
          <w:rStyle w:val="Strong"/>
        </w:rPr>
        <w:t>On-premises.</w:t>
      </w:r>
      <w:r>
        <w:rPr/>
        <w:t xml:space="preserve"> The customer manages all eight layers, from physical networking to application data. </w:t>
      </w:r>
    </w:p>
    <w:p>
      <w:pPr>
        <w:pStyle w:val="BodyText"/>
        <w:numPr>
          <w:ilvl w:val="0"/>
          <w:numId w:val="4"/>
        </w:numPr>
        <w:tabs>
          <w:tab w:val="clear" w:pos="1134"/>
          <w:tab w:val="left" w:pos="709" w:leader="none"/>
        </w:tabs>
        <w:bidi w:val="0"/>
        <w:spacing w:before="0" w:after="0"/>
        <w:ind w:hanging="283" w:left="709"/>
        <w:rPr/>
      </w:pPr>
      <w:r>
        <w:rPr>
          <w:rStyle w:val="Strong"/>
        </w:rPr>
        <w:t>IaaS (Amazon EC2).</w:t>
      </w:r>
      <w:r>
        <w:rPr/>
        <w:t xml:space="preserve"> AWS assumes responsibility for networking, storage, physical servers and virtualisation. The customer receives a bare virtual machine and manages the operating system upward. </w:t>
      </w:r>
    </w:p>
    <w:p>
      <w:pPr>
        <w:pStyle w:val="BodyText"/>
        <w:numPr>
          <w:ilvl w:val="0"/>
          <w:numId w:val="4"/>
        </w:numPr>
        <w:tabs>
          <w:tab w:val="clear" w:pos="1134"/>
          <w:tab w:val="left" w:pos="709" w:leader="none"/>
        </w:tabs>
        <w:bidi w:val="0"/>
        <w:spacing w:before="0" w:after="0"/>
        <w:ind w:hanging="283" w:left="709"/>
        <w:rPr/>
      </w:pPr>
      <w:r>
        <w:rPr>
          <w:rStyle w:val="Strong"/>
        </w:rPr>
        <w:t>PaaS (AWS Elastic Beanstalk, Heroku).</w:t>
      </w:r>
      <w:r>
        <w:rPr/>
        <w:t xml:space="preserve"> AWS additionally assumes the operating system and the application runtime. The customer supplies application code and data, and never administers a server. </w:t>
      </w:r>
    </w:p>
    <w:p>
      <w:pPr>
        <w:pStyle w:val="BodyText"/>
        <w:numPr>
          <w:ilvl w:val="0"/>
          <w:numId w:val="4"/>
        </w:numPr>
        <w:tabs>
          <w:tab w:val="clear" w:pos="1134"/>
          <w:tab w:val="left" w:pos="709" w:leader="none"/>
        </w:tabs>
        <w:bidi w:val="0"/>
        <w:ind w:hanging="283" w:left="709"/>
        <w:rPr/>
      </w:pPr>
      <w:r>
        <w:rPr>
          <w:rStyle w:val="Strong"/>
        </w:rPr>
        <w:t>SaaS (Microsoft 365).</w:t>
      </w:r>
      <w:r>
        <w:rPr/>
        <w:t xml:space="preserve"> The provider manages every layer; the customer supplies only their data. </w:t>
      </w:r>
    </w:p>
    <w:p>
      <w:pPr>
        <w:pStyle w:val="Heading3"/>
        <w:bidi w:val="0"/>
        <w:ind w:hanging="0" w:left="0" w:right="0"/>
        <w:jc w:val="left"/>
        <w:rPr/>
      </w:pPr>
      <w:bookmarkStart w:id="11" w:name="23-why-paas-lite"/>
      <w:bookmarkEnd w:id="11"/>
      <w:r>
        <w:rPr/>
        <w:t>2.3 Why "PaaS-Lite"</w:t>
      </w:r>
    </w:p>
    <w:p>
      <w:pPr>
        <w:pStyle w:val="BodyText"/>
        <w:bidi w:val="0"/>
        <w:rPr/>
      </w:pPr>
      <w:r>
        <w:rPr/>
        <w:t>Lightsail does not fit cleanly into either the IaaS or the PaaS column, which is why the intermediate label is warranted. Its behaviour at the operating system and runtime layers is genuinely hybrid:</w:t>
      </w:r>
    </w:p>
    <w:p>
      <w:pPr>
        <w:pStyle w:val="BodyText"/>
        <w:numPr>
          <w:ilvl w:val="0"/>
          <w:numId w:val="5"/>
        </w:numPr>
        <w:tabs>
          <w:tab w:val="clear" w:pos="1134"/>
          <w:tab w:val="left" w:pos="709" w:leader="none"/>
        </w:tabs>
        <w:bidi w:val="0"/>
        <w:spacing w:before="0" w:after="0"/>
        <w:ind w:hanging="283" w:left="709"/>
        <w:rPr/>
      </w:pPr>
      <w:r>
        <w:rPr>
          <w:rStyle w:val="Strong"/>
        </w:rPr>
        <w:t>Like a PaaS,</w:t>
      </w:r>
      <w:r>
        <w:rPr/>
        <w:t xml:space="preserve"> AWS pre-builds those layers. Selecting the WordPress blueprint yields an instance on which Linux, Apache, PHP, MySQL and WordPress are already installed, configured and running. The user performs no installation and makes no runtime decisions. </w:t>
      </w:r>
    </w:p>
    <w:p>
      <w:pPr>
        <w:pStyle w:val="BodyText"/>
        <w:numPr>
          <w:ilvl w:val="0"/>
          <w:numId w:val="5"/>
        </w:numPr>
        <w:tabs>
          <w:tab w:val="clear" w:pos="1134"/>
          <w:tab w:val="left" w:pos="709" w:leader="none"/>
        </w:tabs>
        <w:bidi w:val="0"/>
        <w:ind w:hanging="283" w:left="709"/>
        <w:rPr/>
      </w:pPr>
      <w:r>
        <w:rPr>
          <w:rStyle w:val="Strong"/>
        </w:rPr>
        <w:t>Like an IaaS,</w:t>
      </w:r>
      <w:r>
        <w:rPr/>
        <w:t xml:space="preserve"> the user retains root. SSH access is provided from the first minute, the operating system may be reconfigured or replaced entirely, and any software may be installed. </w:t>
      </w:r>
    </w:p>
    <w:p>
      <w:pPr>
        <w:pStyle w:val="BodyText"/>
        <w:bidi w:val="0"/>
        <w:rPr/>
      </w:pPr>
      <w:r>
        <w:rPr/>
        <w:t>The consequence is a service offering PaaS convenience on the first day and IaaS control on the second. This hybrid position, rather than any pricing innovation, is the defining characteristic of the product. It also explains the service's principal liability: because the customer retains root, the customer also retains the obligation to patch — a responsibility a true PaaS would absorb. Section 7.2 returns to this.</w:t>
      </w:r>
    </w:p>
    <w:p>
      <w:pPr>
        <w:pStyle w:val="HorizontalLine"/>
        <w:bidi w:val="0"/>
        <w:jc w:val="left"/>
        <w:rPr/>
      </w:pPr>
      <w:r>
        <w:rPr/>
      </w:r>
    </w:p>
    <w:p>
      <w:pPr>
        <w:pStyle w:val="Heading2"/>
        <w:bidi w:val="0"/>
        <w:ind w:hanging="0" w:left="0" w:right="0"/>
        <w:jc w:val="left"/>
        <w:rPr/>
      </w:pPr>
      <w:bookmarkStart w:id="12" w:name="3-amazon-lightsail-service-overview"/>
      <w:bookmarkEnd w:id="12"/>
      <w:r>
        <w:rPr/>
        <w:t>3. Amazon Lightsail: Service Overview</w:t>
      </w:r>
    </w:p>
    <w:p>
      <w:pPr>
        <w:pStyle w:val="Heading3"/>
        <w:bidi w:val="0"/>
        <w:ind w:hanging="0" w:left="0" w:right="0"/>
        <w:jc w:val="left"/>
        <w:rPr/>
      </w:pPr>
      <w:bookmarkStart w:id="13" w:name="31-definition"/>
      <w:bookmarkEnd w:id="13"/>
      <w:r>
        <w:rPr/>
        <w:t>3.1 Definition</w:t>
      </w:r>
    </w:p>
    <w:p>
      <w:pPr>
        <w:pStyle w:val="BodyText"/>
        <w:bidi w:val="0"/>
        <w:rPr/>
      </w:pPr>
      <w:r>
        <w:rPr/>
        <w:t>Amazon Lightsail is AWS's virtual private server offering: pre-configured compute, storage, networking and managed services, sold as fixed-price monthly bundles through a deliberately simplified console.</w:t>
      </w:r>
    </w:p>
    <w:p>
      <w:pPr>
        <w:pStyle w:val="Heading3"/>
        <w:bidi w:val="0"/>
        <w:ind w:hanging="0" w:left="0" w:right="0"/>
        <w:jc w:val="left"/>
        <w:rPr/>
      </w:pPr>
      <w:bookmarkStart w:id="14" w:name="32-history-and-availability"/>
      <w:bookmarkEnd w:id="14"/>
      <w:r>
        <w:rPr/>
        <w:t>3.2 History and Availability</w:t>
      </w:r>
    </w:p>
    <w:tbl>
      <w:tblPr>
        <w:tblW w:w="12227" w:type="dxa"/>
        <w:jc w:val="left"/>
        <w:tblInd w:w="0" w:type="dxa"/>
        <w:tblLayout w:type="fixed"/>
        <w:tblCellMar>
          <w:top w:w="28" w:type="dxa"/>
          <w:left w:w="28" w:type="dxa"/>
          <w:bottom w:w="28" w:type="dxa"/>
          <w:right w:w="28" w:type="dxa"/>
        </w:tblCellMar>
      </w:tblPr>
      <w:tblGrid>
        <w:gridCol w:w="2101"/>
        <w:gridCol w:w="10126"/>
      </w:tblGrid>
      <w:tr>
        <w:trPr>
          <w:tblHeader w:val="true"/>
        </w:trPr>
        <w:tc>
          <w:tcPr>
            <w:tcW w:w="2101" w:type="dxa"/>
            <w:tcBorders/>
            <w:vAlign w:val="center"/>
          </w:tcPr>
          <w:p>
            <w:pPr>
              <w:pStyle w:val="TableHeading"/>
              <w:suppressLineNumbers/>
              <w:shd w:fill="232F3E" w:val="clear"/>
              <w:bidi w:val="0"/>
              <w:spacing w:before="0" w:after="170"/>
              <w:jc w:val="left"/>
              <w:rPr/>
            </w:pPr>
            <w:r>
              <w:rPr/>
              <w:t>Date</w:t>
            </w:r>
          </w:p>
        </w:tc>
        <w:tc>
          <w:tcPr>
            <w:tcW w:w="10126" w:type="dxa"/>
            <w:tcBorders/>
            <w:vAlign w:val="center"/>
          </w:tcPr>
          <w:p>
            <w:pPr>
              <w:pStyle w:val="TableHeading"/>
              <w:suppressLineNumbers/>
              <w:shd w:fill="232F3E" w:val="clear"/>
              <w:bidi w:val="0"/>
              <w:spacing w:before="0" w:after="170"/>
              <w:jc w:val="left"/>
              <w:rPr/>
            </w:pPr>
            <w:r>
              <w:rPr/>
              <w:t>Development</w:t>
            </w:r>
          </w:p>
        </w:tc>
      </w:tr>
      <w:tr>
        <w:trPr/>
        <w:tc>
          <w:tcPr>
            <w:tcW w:w="2101" w:type="dxa"/>
            <w:tcBorders/>
            <w:vAlign w:val="center"/>
          </w:tcPr>
          <w:p>
            <w:pPr>
              <w:pStyle w:val="TableContents"/>
              <w:bidi w:val="0"/>
              <w:spacing w:before="0" w:after="170"/>
              <w:rPr/>
            </w:pPr>
            <w:r>
              <w:rPr/>
              <w:t>30 November 2016</w:t>
            </w:r>
          </w:p>
        </w:tc>
        <w:tc>
          <w:tcPr>
            <w:tcW w:w="10126" w:type="dxa"/>
            <w:tcBorders/>
            <w:vAlign w:val="center"/>
          </w:tcPr>
          <w:p>
            <w:pPr>
              <w:pStyle w:val="TableContents"/>
              <w:bidi w:val="0"/>
              <w:spacing w:before="0" w:after="170"/>
              <w:rPr/>
            </w:pPr>
            <w:r>
              <w:rPr/>
              <w:t>Announced at AWS re:Invent; launched in US East (N. Virginia)</w:t>
            </w:r>
          </w:p>
        </w:tc>
      </w:tr>
      <w:tr>
        <w:trPr/>
        <w:tc>
          <w:tcPr>
            <w:tcW w:w="2101" w:type="dxa"/>
            <w:tcBorders/>
            <w:vAlign w:val="center"/>
          </w:tcPr>
          <w:p>
            <w:pPr>
              <w:pStyle w:val="TableContents"/>
              <w:bidi w:val="0"/>
              <w:spacing w:before="0" w:after="170"/>
              <w:rPr/>
            </w:pPr>
            <w:r>
              <w:rPr/>
              <w:t>2017</w:t>
            </w:r>
          </w:p>
        </w:tc>
        <w:tc>
          <w:tcPr>
            <w:tcW w:w="10126" w:type="dxa"/>
            <w:tcBorders/>
            <w:vAlign w:val="center"/>
          </w:tcPr>
          <w:p>
            <w:pPr>
              <w:pStyle w:val="TableContents"/>
              <w:bidi w:val="0"/>
              <w:spacing w:before="0" w:after="170"/>
              <w:rPr/>
            </w:pPr>
            <w:r>
              <w:rPr/>
              <w:t>Expanded to nine further AWS Regions; global console introduced</w:t>
            </w:r>
          </w:p>
        </w:tc>
      </w:tr>
      <w:tr>
        <w:trPr/>
        <w:tc>
          <w:tcPr>
            <w:tcW w:w="2101" w:type="dxa"/>
            <w:tcBorders/>
            <w:vAlign w:val="center"/>
          </w:tcPr>
          <w:p>
            <w:pPr>
              <w:pStyle w:val="TableContents"/>
              <w:bidi w:val="0"/>
              <w:spacing w:before="0" w:after="170"/>
              <w:rPr/>
            </w:pPr>
            <w:r>
              <w:rPr/>
              <w:t>November 2017</w:t>
            </w:r>
          </w:p>
        </w:tc>
        <w:tc>
          <w:tcPr>
            <w:tcW w:w="10126" w:type="dxa"/>
            <w:tcBorders/>
            <w:vAlign w:val="center"/>
          </w:tcPr>
          <w:p>
            <w:pPr>
              <w:pStyle w:val="TableContents"/>
              <w:bidi w:val="0"/>
              <w:spacing w:before="0" w:after="170"/>
              <w:rPr/>
            </w:pPr>
            <w:r>
              <w:rPr/>
              <w:t>Additional block storage introduced</w:t>
            </w:r>
          </w:p>
        </w:tc>
      </w:tr>
      <w:tr>
        <w:trPr/>
        <w:tc>
          <w:tcPr>
            <w:tcW w:w="2101" w:type="dxa"/>
            <w:tcBorders/>
            <w:vAlign w:val="center"/>
          </w:tcPr>
          <w:p>
            <w:pPr>
              <w:pStyle w:val="TableContents"/>
              <w:bidi w:val="0"/>
              <w:spacing w:before="0" w:after="170"/>
              <w:rPr/>
            </w:pPr>
            <w:r>
              <w:rPr/>
              <w:t>August 2018</w:t>
            </w:r>
          </w:p>
        </w:tc>
        <w:tc>
          <w:tcPr>
            <w:tcW w:w="10126" w:type="dxa"/>
            <w:tcBorders/>
            <w:vAlign w:val="center"/>
          </w:tcPr>
          <w:p>
            <w:pPr>
              <w:pStyle w:val="TableContents"/>
              <w:bidi w:val="0"/>
              <w:spacing w:before="0" w:after="170"/>
              <w:rPr/>
            </w:pPr>
            <w:r>
              <w:rPr/>
              <w:t>Price reduction of up to 50%; two larger instance sizes added</w:t>
            </w:r>
          </w:p>
        </w:tc>
      </w:tr>
      <w:tr>
        <w:trPr/>
        <w:tc>
          <w:tcPr>
            <w:tcW w:w="2101" w:type="dxa"/>
            <w:tcBorders/>
            <w:vAlign w:val="center"/>
          </w:tcPr>
          <w:p>
            <w:pPr>
              <w:pStyle w:val="TableContents"/>
              <w:bidi w:val="0"/>
              <w:spacing w:before="0" w:after="170"/>
              <w:rPr/>
            </w:pPr>
            <w:r>
              <w:rPr/>
              <w:t>November 2018</w:t>
            </w:r>
          </w:p>
        </w:tc>
        <w:tc>
          <w:tcPr>
            <w:tcW w:w="10126" w:type="dxa"/>
            <w:tcBorders/>
            <w:vAlign w:val="center"/>
          </w:tcPr>
          <w:p>
            <w:pPr>
              <w:pStyle w:val="TableContents"/>
              <w:bidi w:val="0"/>
              <w:spacing w:before="0" w:after="170"/>
              <w:rPr/>
            </w:pPr>
            <w:r>
              <w:rPr/>
              <w:t>Snapshot export to Amazon EC2 introduced, creating a formal upgrade path</w:t>
            </w:r>
          </w:p>
        </w:tc>
      </w:tr>
      <w:tr>
        <w:trPr/>
        <w:tc>
          <w:tcPr>
            <w:tcW w:w="2101" w:type="dxa"/>
            <w:tcBorders/>
            <w:vAlign w:val="center"/>
          </w:tcPr>
          <w:p>
            <w:pPr>
              <w:pStyle w:val="TableContents"/>
              <w:bidi w:val="0"/>
              <w:spacing w:before="0" w:after="170"/>
              <w:rPr/>
            </w:pPr>
            <w:r>
              <w:rPr/>
              <w:t>October 2018</w:t>
            </w:r>
          </w:p>
        </w:tc>
        <w:tc>
          <w:tcPr>
            <w:tcW w:w="10126" w:type="dxa"/>
            <w:tcBorders/>
            <w:vAlign w:val="center"/>
          </w:tcPr>
          <w:p>
            <w:pPr>
              <w:pStyle w:val="TableContents"/>
              <w:bidi w:val="0"/>
              <w:spacing w:before="0" w:after="170"/>
              <w:rPr/>
            </w:pPr>
            <w:r>
              <w:rPr/>
              <w:t>Managed databases (MySQL, later PostgreSQL) introduced</w:t>
            </w:r>
          </w:p>
        </w:tc>
      </w:tr>
      <w:tr>
        <w:trPr/>
        <w:tc>
          <w:tcPr>
            <w:tcW w:w="2101" w:type="dxa"/>
            <w:tcBorders/>
            <w:vAlign w:val="center"/>
          </w:tcPr>
          <w:p>
            <w:pPr>
              <w:pStyle w:val="TableContents"/>
              <w:bidi w:val="0"/>
              <w:spacing w:before="0" w:after="170"/>
              <w:rPr/>
            </w:pPr>
            <w:r>
              <w:rPr/>
              <w:t>June 2021</w:t>
            </w:r>
          </w:p>
        </w:tc>
        <w:tc>
          <w:tcPr>
            <w:tcW w:w="10126" w:type="dxa"/>
            <w:tcBorders/>
            <w:vAlign w:val="center"/>
          </w:tcPr>
          <w:p>
            <w:pPr>
              <w:pStyle w:val="TableContents"/>
              <w:bidi w:val="0"/>
              <w:spacing w:before="0" w:after="170"/>
              <w:rPr/>
            </w:pPr>
            <w:r>
              <w:rPr/>
              <w:t>Object storage buckets introduced</w:t>
            </w:r>
          </w:p>
        </w:tc>
      </w:tr>
      <w:tr>
        <w:trPr/>
        <w:tc>
          <w:tcPr>
            <w:tcW w:w="2101" w:type="dxa"/>
            <w:tcBorders/>
            <w:vAlign w:val="center"/>
          </w:tcPr>
          <w:p>
            <w:pPr>
              <w:pStyle w:val="TableContents"/>
              <w:bidi w:val="0"/>
              <w:spacing w:before="0" w:after="170"/>
              <w:rPr/>
            </w:pPr>
            <w:r>
              <w:rPr/>
              <w:t>2021</w:t>
            </w:r>
          </w:p>
        </w:tc>
        <w:tc>
          <w:tcPr>
            <w:tcW w:w="10126" w:type="dxa"/>
            <w:tcBorders/>
            <w:vAlign w:val="center"/>
          </w:tcPr>
          <w:p>
            <w:pPr>
              <w:pStyle w:val="TableContents"/>
              <w:bidi w:val="0"/>
              <w:spacing w:before="0" w:after="170"/>
              <w:rPr/>
            </w:pPr>
            <w:r>
              <w:rPr/>
              <w:t>Lightsail containers introduced</w:t>
            </w:r>
          </w:p>
        </w:tc>
      </w:tr>
      <w:tr>
        <w:trPr/>
        <w:tc>
          <w:tcPr>
            <w:tcW w:w="2101" w:type="dxa"/>
            <w:tcBorders/>
            <w:vAlign w:val="center"/>
          </w:tcPr>
          <w:p>
            <w:pPr>
              <w:pStyle w:val="TableContents"/>
              <w:bidi w:val="0"/>
              <w:spacing w:before="0" w:after="170"/>
              <w:rPr/>
            </w:pPr>
            <w:r>
              <w:rPr/>
              <w:t>November 2022</w:t>
            </w:r>
          </w:p>
        </w:tc>
        <w:tc>
          <w:tcPr>
            <w:tcW w:w="10126" w:type="dxa"/>
            <w:tcBorders/>
            <w:vAlign w:val="center"/>
          </w:tcPr>
          <w:p>
            <w:pPr>
              <w:pStyle w:val="TableContents"/>
              <w:bidi w:val="0"/>
              <w:spacing w:before="0" w:after="170"/>
              <w:rPr/>
            </w:pPr>
            <w:r>
              <w:rPr/>
              <w:t>Lightsail for Research announced</w:t>
            </w:r>
          </w:p>
        </w:tc>
      </w:tr>
      <w:tr>
        <w:trPr/>
        <w:tc>
          <w:tcPr>
            <w:tcW w:w="2101" w:type="dxa"/>
            <w:tcBorders/>
            <w:vAlign w:val="center"/>
          </w:tcPr>
          <w:p>
            <w:pPr>
              <w:pStyle w:val="TableContents"/>
              <w:bidi w:val="0"/>
              <w:spacing w:before="0" w:after="170"/>
              <w:rPr/>
            </w:pPr>
            <w:r>
              <w:rPr/>
              <w:t>January 2026</w:t>
            </w:r>
          </w:p>
        </w:tc>
        <w:tc>
          <w:tcPr>
            <w:tcW w:w="10126" w:type="dxa"/>
            <w:tcBorders/>
            <w:vAlign w:val="center"/>
          </w:tcPr>
          <w:p>
            <w:pPr>
              <w:pStyle w:val="TableContents"/>
              <w:bidi w:val="0"/>
              <w:spacing w:before="0" w:after="170"/>
              <w:rPr/>
            </w:pPr>
            <w:r>
              <w:rPr/>
              <w:t>AWS-maintained Node.js, LAMP and Ruby on Rails blueprints released</w:t>
            </w:r>
          </w:p>
        </w:tc>
      </w:tr>
      <w:tr>
        <w:trPr/>
        <w:tc>
          <w:tcPr>
            <w:tcW w:w="2101" w:type="dxa"/>
            <w:tcBorders/>
            <w:vAlign w:val="center"/>
          </w:tcPr>
          <w:p>
            <w:pPr>
              <w:pStyle w:val="TableContents"/>
              <w:bidi w:val="0"/>
              <w:spacing w:before="0" w:after="170"/>
              <w:rPr/>
            </w:pPr>
            <w:r>
              <w:rPr/>
              <w:t>February 2026</w:t>
            </w:r>
          </w:p>
        </w:tc>
        <w:tc>
          <w:tcPr>
            <w:tcW w:w="10126" w:type="dxa"/>
            <w:tcBorders/>
            <w:vAlign w:val="center"/>
          </w:tcPr>
          <w:p>
            <w:pPr>
              <w:pStyle w:val="TableContents"/>
              <w:bidi w:val="0"/>
              <w:spacing w:before="0" w:after="170"/>
              <w:rPr/>
            </w:pPr>
            <w:r>
              <w:rPr/>
              <w:t>Memory-optimised instance bundles introduced, to 512 GB of memory</w:t>
            </w:r>
          </w:p>
        </w:tc>
      </w:tr>
      <w:tr>
        <w:trPr/>
        <w:tc>
          <w:tcPr>
            <w:tcW w:w="2101" w:type="dxa"/>
            <w:tcBorders/>
            <w:vAlign w:val="center"/>
          </w:tcPr>
          <w:p>
            <w:pPr>
              <w:pStyle w:val="TableContents"/>
              <w:bidi w:val="0"/>
              <w:spacing w:before="0" w:after="170"/>
              <w:rPr/>
            </w:pPr>
            <w:r>
              <w:rPr/>
              <w:t>April 2026</w:t>
            </w:r>
          </w:p>
        </w:tc>
        <w:tc>
          <w:tcPr>
            <w:tcW w:w="10126" w:type="dxa"/>
            <w:tcBorders/>
            <w:vAlign w:val="center"/>
          </w:tcPr>
          <w:p>
            <w:pPr>
              <w:pStyle w:val="TableContents"/>
              <w:bidi w:val="0"/>
              <w:spacing w:before="0" w:after="170"/>
              <w:rPr/>
            </w:pPr>
            <w:r>
              <w:rPr/>
              <w:t>Compute-optimised instance bundles introduced, to 72 vCPU</w:t>
            </w:r>
          </w:p>
        </w:tc>
      </w:tr>
      <w:tr>
        <w:trPr/>
        <w:tc>
          <w:tcPr>
            <w:tcW w:w="2101" w:type="dxa"/>
            <w:tcBorders/>
            <w:vAlign w:val="center"/>
          </w:tcPr>
          <w:p>
            <w:pPr>
              <w:pStyle w:val="TableContents"/>
              <w:bidi w:val="0"/>
              <w:spacing w:before="0" w:after="170"/>
              <w:rPr/>
            </w:pPr>
            <w:r>
              <w:rPr/>
              <w:t>June 2026</w:t>
            </w:r>
          </w:p>
        </w:tc>
        <w:tc>
          <w:tcPr>
            <w:tcW w:w="10126" w:type="dxa"/>
            <w:tcBorders/>
            <w:vAlign w:val="center"/>
          </w:tcPr>
          <w:p>
            <w:pPr>
              <w:pStyle w:val="TableContents"/>
              <w:bidi w:val="0"/>
              <w:spacing w:before="0" w:after="170"/>
              <w:rPr/>
            </w:pPr>
            <w:r>
              <w:rPr/>
              <w:t>Availability extended to Asia Pacific (Hong Kong), South America (São Paulo) and Europe (Spain)</w:t>
            </w:r>
          </w:p>
        </w:tc>
      </w:tr>
    </w:tbl>
    <w:p>
      <w:pPr>
        <w:pStyle w:val="BodyText"/>
        <w:bidi w:val="0"/>
        <w:rPr/>
      </w:pPr>
      <w:r>
        <w:rPr/>
        <w:t>Lightsail is available in a subset of AWS Regions rather than all of them — a practical constraint where data residency requirements apply.</w:t>
      </w:r>
    </w:p>
    <w:p>
      <w:pPr>
        <w:pStyle w:val="Heading3"/>
        <w:bidi w:val="0"/>
        <w:ind w:hanging="0" w:left="0" w:right="0"/>
        <w:jc w:val="left"/>
        <w:rPr/>
      </w:pPr>
      <w:bookmarkStart w:id="15" w:name="33-design-philosophy"/>
      <w:bookmarkEnd w:id="15"/>
      <w:r>
        <w:rPr/>
        <w:t>3.3 Design Philosophy</w:t>
      </w:r>
    </w:p>
    <w:p>
      <w:pPr>
        <w:pStyle w:val="BodyText"/>
        <w:bidi w:val="0"/>
        <w:rPr/>
      </w:pPr>
      <w:r>
        <w:rPr/>
        <w:t>Three principles govern the service and explain most of its design decisions:</w:t>
      </w:r>
    </w:p>
    <w:p>
      <w:pPr>
        <w:pStyle w:val="BodyText"/>
        <w:numPr>
          <w:ilvl w:val="0"/>
          <w:numId w:val="6"/>
        </w:numPr>
        <w:tabs>
          <w:tab w:val="clear" w:pos="1134"/>
          <w:tab w:val="left" w:pos="709" w:leader="none"/>
        </w:tabs>
        <w:bidi w:val="0"/>
        <w:spacing w:before="0" w:after="0"/>
        <w:ind w:hanging="283" w:left="709"/>
        <w:rPr/>
      </w:pPr>
      <w:r>
        <w:rPr>
          <w:rStyle w:val="Strong"/>
        </w:rPr>
        <w:t>A fixed price stated before deployment.</w:t>
      </w:r>
      <w:r>
        <w:rPr/>
        <w:t xml:space="preserve"> Every resource carries a flat monthly figure with an allowance attached, rather than a meter. </w:t>
      </w:r>
    </w:p>
    <w:p>
      <w:pPr>
        <w:pStyle w:val="BodyText"/>
        <w:numPr>
          <w:ilvl w:val="0"/>
          <w:numId w:val="6"/>
        </w:numPr>
        <w:tabs>
          <w:tab w:val="clear" w:pos="1134"/>
          <w:tab w:val="left" w:pos="709" w:leader="none"/>
        </w:tabs>
        <w:bidi w:val="0"/>
        <w:spacing w:before="0" w:after="0"/>
        <w:ind w:hanging="283" w:left="709"/>
        <w:rPr/>
      </w:pPr>
      <w:r>
        <w:rPr>
          <w:rStyle w:val="Strong"/>
        </w:rPr>
        <w:t>Fewer choices, made well.</w:t>
      </w:r>
      <w:r>
        <w:rPr/>
        <w:t xml:space="preserve"> Eight general-purpose bundles replace 750 instance types. The defaults are opinionated and generally correct for small workloads. </w:t>
      </w:r>
    </w:p>
    <w:p>
      <w:pPr>
        <w:pStyle w:val="BodyText"/>
        <w:numPr>
          <w:ilvl w:val="0"/>
          <w:numId w:val="6"/>
        </w:numPr>
        <w:tabs>
          <w:tab w:val="clear" w:pos="1134"/>
          <w:tab w:val="left" w:pos="709" w:leader="none"/>
        </w:tabs>
        <w:bidi w:val="0"/>
        <w:ind w:hanging="283" w:left="709"/>
        <w:rPr/>
      </w:pPr>
      <w:r>
        <w:rPr>
          <w:rStyle w:val="Strong"/>
        </w:rPr>
        <w:t>No architectural dead end.</w:t>
      </w:r>
      <w:r>
        <w:rPr/>
        <w:t xml:space="preserve"> Every resource is a standard AWS primitive, and a documented export path to EC2 exists. The service is explicitly designed to be outgrown. </w:t>
      </w:r>
    </w:p>
    <w:p>
      <w:pPr>
        <w:pStyle w:val="HorizontalLine"/>
        <w:bidi w:val="0"/>
        <w:jc w:val="left"/>
        <w:rPr/>
      </w:pPr>
      <w:r>
        <w:rPr/>
      </w:r>
    </w:p>
    <w:p>
      <w:pPr>
        <w:pStyle w:val="Heading2"/>
        <w:bidi w:val="0"/>
        <w:ind w:hanging="0" w:left="0" w:right="0"/>
        <w:jc w:val="left"/>
        <w:rPr/>
      </w:pPr>
      <w:bookmarkStart w:id="16" w:name="4-system-architecture"/>
      <w:bookmarkEnd w:id="16"/>
      <w:r>
        <w:rPr/>
        <w:t>4. System Architecture</w:t>
      </w:r>
    </w:p>
    <w:p>
      <w:pPr>
        <w:pStyle w:val="Heading3"/>
        <w:bidi w:val="0"/>
        <w:ind w:hanging="0" w:left="0" w:right="0"/>
        <w:jc w:val="left"/>
        <w:rPr/>
      </w:pPr>
      <w:bookmarkStart w:id="17" w:name="41-the-control-plane"/>
      <w:bookmarkEnd w:id="17"/>
      <w:r>
        <w:rPr/>
        <w:t>4.1 The Control Plane</w:t>
      </w:r>
    </w:p>
    <w:p>
      <w:pPr>
        <w:pStyle w:val="BodyText"/>
        <w:bidi w:val="0"/>
        <w:rPr/>
      </w:pPr>
      <w:r>
        <w:rPr/>
        <w:t>Lightsail is not a separate infrastructure platform. It is a curated control plane over services AWS already operates, as Figure 2 shows.</w:t>
      </w:r>
    </w:p>
    <w:p>
      <w:pPr>
        <w:pStyle w:val="BodyText"/>
        <w:bidi w:val="0"/>
        <w:rPr/>
      </w:pPr>
      <w:r>
        <w:rPr/>
        <w:drawing>
          <wp:inline distT="0" distB="0" distL="0" distR="0">
            <wp:extent cx="20317460" cy="12825095"/>
            <wp:effectExtent l="0" t="0" r="0" b="0"/>
            <wp:docPr id="2" name="Image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pic:cNvPicPr>
                      <a:picLocks noChangeAspect="1" noChangeArrowheads="1"/>
                    </pic:cNvPicPr>
                  </pic:nvPicPr>
                  <pic:blipFill>
                    <a:blip r:embed="rId3"/>
                    <a:stretch>
                      <a:fillRect/>
                    </a:stretch>
                  </pic:blipFill>
                  <pic:spPr bwMode="auto">
                    <a:xfrm>
                      <a:off x="0" y="0"/>
                      <a:ext cx="20317460" cy="12825095"/>
                    </a:xfrm>
                    <a:prstGeom prst="rect">
                      <a:avLst/>
                    </a:prstGeom>
                  </pic:spPr>
                </pic:pic>
              </a:graphicData>
            </a:graphic>
          </wp:inline>
        </w:drawing>
      </w:r>
    </w:p>
    <w:p>
      <w:pPr>
        <w:pStyle w:val="BodyTextcaption"/>
        <w:bidi w:val="0"/>
        <w:rPr/>
      </w:pPr>
      <w:r>
        <w:rPr>
          <w:rStyle w:val="Strong"/>
        </w:rPr>
        <w:t>Figure 2</w:t>
      </w:r>
      <w:r>
        <w:rPr/>
        <w:t xml:space="preserve"> — The Lightsail control plane and the AWS primitives beneath it.</w:t>
      </w:r>
    </w:p>
    <w:p>
      <w:pPr>
        <w:pStyle w:val="BodyText"/>
        <w:bidi w:val="0"/>
        <w:rPr/>
      </w:pPr>
      <w:r>
        <w:rPr/>
        <w:t>The user reaches the service through the Lightsail console, the AWS CLI (</w:t>
      </w:r>
      <w:r>
        <w:rPr>
          <w:rStyle w:val="SourceText"/>
        </w:rPr>
        <w:t>aws lightsail …</w:t>
      </w:r>
      <w:r>
        <w:rPr/>
        <w:t>), the Lightsail API, or browser-based SSH and RDP clients that require no local key management. The control plane holds the bundles, the blueprints and the opinionated defaults, and translates a small number of user choices into a correctly configured set of underlying AWS resources.</w:t>
      </w:r>
    </w:p>
    <w:p>
      <w:pPr>
        <w:pStyle w:val="Heading3"/>
        <w:bidi w:val="0"/>
        <w:ind w:hanging="0" w:left="0" w:right="0"/>
        <w:jc w:val="left"/>
        <w:rPr/>
      </w:pPr>
      <w:bookmarkStart w:id="18" w:name="42-mapping-to-aws-primitives"/>
      <w:bookmarkEnd w:id="18"/>
      <w:r>
        <w:rPr/>
        <w:t>4.2 Mapping to AWS Primitives</w:t>
      </w:r>
    </w:p>
    <w:tbl>
      <w:tblPr>
        <w:tblW w:w="15393" w:type="dxa"/>
        <w:jc w:val="left"/>
        <w:tblInd w:w="0" w:type="dxa"/>
        <w:tblLayout w:type="fixed"/>
        <w:tblCellMar>
          <w:top w:w="28" w:type="dxa"/>
          <w:left w:w="28" w:type="dxa"/>
          <w:bottom w:w="28" w:type="dxa"/>
          <w:right w:w="28" w:type="dxa"/>
        </w:tblCellMar>
      </w:tblPr>
      <w:tblGrid>
        <w:gridCol w:w="2416"/>
        <w:gridCol w:w="5311"/>
        <w:gridCol w:w="7666"/>
      </w:tblGrid>
      <w:tr>
        <w:trPr>
          <w:tblHeader w:val="true"/>
        </w:trPr>
        <w:tc>
          <w:tcPr>
            <w:tcW w:w="2416" w:type="dxa"/>
            <w:tcBorders/>
            <w:vAlign w:val="center"/>
          </w:tcPr>
          <w:p>
            <w:pPr>
              <w:pStyle w:val="TableHeading"/>
              <w:suppressLineNumbers/>
              <w:shd w:fill="232F3E" w:val="clear"/>
              <w:bidi w:val="0"/>
              <w:spacing w:before="0" w:after="170"/>
              <w:jc w:val="left"/>
              <w:rPr/>
            </w:pPr>
            <w:r>
              <w:rPr/>
              <w:t>Lightsail resource</w:t>
            </w:r>
          </w:p>
        </w:tc>
        <w:tc>
          <w:tcPr>
            <w:tcW w:w="5311" w:type="dxa"/>
            <w:tcBorders/>
            <w:vAlign w:val="center"/>
          </w:tcPr>
          <w:p>
            <w:pPr>
              <w:pStyle w:val="TableHeading"/>
              <w:suppressLineNumbers/>
              <w:shd w:fill="232F3E" w:val="clear"/>
              <w:bidi w:val="0"/>
              <w:spacing w:before="0" w:after="170"/>
              <w:jc w:val="left"/>
              <w:rPr/>
            </w:pPr>
            <w:r>
              <w:rPr/>
              <w:t>Underlying AWS service</w:t>
            </w:r>
          </w:p>
        </w:tc>
        <w:tc>
          <w:tcPr>
            <w:tcW w:w="7666" w:type="dxa"/>
            <w:tcBorders/>
            <w:vAlign w:val="center"/>
          </w:tcPr>
          <w:p>
            <w:pPr>
              <w:pStyle w:val="TableHeading"/>
              <w:suppressLineNumbers/>
              <w:shd w:fill="232F3E" w:val="clear"/>
              <w:bidi w:val="0"/>
              <w:spacing w:before="0" w:after="170"/>
              <w:jc w:val="left"/>
              <w:rPr/>
            </w:pPr>
            <w:r>
              <w:rPr/>
              <w:t>Configuration hidden from the user</w:t>
            </w:r>
          </w:p>
        </w:tc>
      </w:tr>
      <w:tr>
        <w:trPr/>
        <w:tc>
          <w:tcPr>
            <w:tcW w:w="2416" w:type="dxa"/>
            <w:tcBorders/>
            <w:vAlign w:val="center"/>
          </w:tcPr>
          <w:p>
            <w:pPr>
              <w:pStyle w:val="TableContents"/>
              <w:bidi w:val="0"/>
              <w:spacing w:before="0" w:after="170"/>
              <w:rPr/>
            </w:pPr>
            <w:r>
              <w:rPr/>
              <w:t>Instance</w:t>
            </w:r>
          </w:p>
        </w:tc>
        <w:tc>
          <w:tcPr>
            <w:tcW w:w="5311" w:type="dxa"/>
            <w:tcBorders/>
            <w:vAlign w:val="center"/>
          </w:tcPr>
          <w:p>
            <w:pPr>
              <w:pStyle w:val="TableContents"/>
              <w:bidi w:val="0"/>
              <w:spacing w:before="0" w:after="170"/>
              <w:rPr/>
            </w:pPr>
            <w:r>
              <w:rPr/>
              <w:t>Amazon EC2</w:t>
            </w:r>
          </w:p>
        </w:tc>
        <w:tc>
          <w:tcPr>
            <w:tcW w:w="7666" w:type="dxa"/>
            <w:tcBorders/>
            <w:vAlign w:val="center"/>
          </w:tcPr>
          <w:p>
            <w:pPr>
              <w:pStyle w:val="TableContents"/>
              <w:bidi w:val="0"/>
              <w:spacing w:before="0" w:after="170"/>
              <w:rPr/>
            </w:pPr>
            <w:r>
              <w:rPr/>
              <w:t>Instance type selection, placement, tenancy, most launch parameters</w:t>
            </w:r>
          </w:p>
        </w:tc>
      </w:tr>
      <w:tr>
        <w:trPr/>
        <w:tc>
          <w:tcPr>
            <w:tcW w:w="2416" w:type="dxa"/>
            <w:tcBorders/>
            <w:vAlign w:val="center"/>
          </w:tcPr>
          <w:p>
            <w:pPr>
              <w:pStyle w:val="TableContents"/>
              <w:bidi w:val="0"/>
              <w:spacing w:before="0" w:after="170"/>
              <w:rPr/>
            </w:pPr>
            <w:r>
              <w:rPr/>
              <w:t>Block storage disk</w:t>
            </w:r>
          </w:p>
        </w:tc>
        <w:tc>
          <w:tcPr>
            <w:tcW w:w="5311" w:type="dxa"/>
            <w:tcBorders/>
            <w:vAlign w:val="center"/>
          </w:tcPr>
          <w:p>
            <w:pPr>
              <w:pStyle w:val="TableContents"/>
              <w:bidi w:val="0"/>
              <w:spacing w:before="0" w:after="170"/>
              <w:rPr/>
            </w:pPr>
            <w:r>
              <w:rPr/>
              <w:t>Amazon EBS</w:t>
            </w:r>
          </w:p>
        </w:tc>
        <w:tc>
          <w:tcPr>
            <w:tcW w:w="7666" w:type="dxa"/>
            <w:tcBorders/>
            <w:vAlign w:val="center"/>
          </w:tcPr>
          <w:p>
            <w:pPr>
              <w:pStyle w:val="TableContents"/>
              <w:bidi w:val="0"/>
              <w:spacing w:before="0" w:after="170"/>
              <w:rPr/>
            </w:pPr>
            <w:r>
              <w:rPr/>
              <w:t>Volume type, IOPS and throughput provisioning</w:t>
            </w:r>
          </w:p>
        </w:tc>
      </w:tr>
      <w:tr>
        <w:trPr/>
        <w:tc>
          <w:tcPr>
            <w:tcW w:w="2416" w:type="dxa"/>
            <w:tcBorders/>
            <w:vAlign w:val="center"/>
          </w:tcPr>
          <w:p>
            <w:pPr>
              <w:pStyle w:val="TableContents"/>
              <w:bidi w:val="0"/>
              <w:spacing w:before="0" w:after="170"/>
              <w:rPr/>
            </w:pPr>
            <w:r>
              <w:rPr/>
              <w:t>Load balancer</w:t>
            </w:r>
          </w:p>
        </w:tc>
        <w:tc>
          <w:tcPr>
            <w:tcW w:w="5311" w:type="dxa"/>
            <w:tcBorders/>
            <w:vAlign w:val="center"/>
          </w:tcPr>
          <w:p>
            <w:pPr>
              <w:pStyle w:val="TableContents"/>
              <w:bidi w:val="0"/>
              <w:spacing w:before="0" w:after="170"/>
              <w:rPr/>
            </w:pPr>
            <w:r>
              <w:rPr/>
              <w:t>Elastic Load Balancing + AWS Certificate Manager</w:t>
            </w:r>
          </w:p>
        </w:tc>
        <w:tc>
          <w:tcPr>
            <w:tcW w:w="7666" w:type="dxa"/>
            <w:tcBorders/>
            <w:vAlign w:val="center"/>
          </w:tcPr>
          <w:p>
            <w:pPr>
              <w:pStyle w:val="TableContents"/>
              <w:bidi w:val="0"/>
              <w:spacing w:before="0" w:after="170"/>
              <w:rPr/>
            </w:pPr>
            <w:r>
              <w:rPr/>
              <w:t>Listener rules, target group configuration, certificate lifecycle</w:t>
            </w:r>
          </w:p>
        </w:tc>
      </w:tr>
      <w:tr>
        <w:trPr/>
        <w:tc>
          <w:tcPr>
            <w:tcW w:w="2416" w:type="dxa"/>
            <w:tcBorders/>
            <w:vAlign w:val="center"/>
          </w:tcPr>
          <w:p>
            <w:pPr>
              <w:pStyle w:val="TableContents"/>
              <w:bidi w:val="0"/>
              <w:spacing w:before="0" w:after="170"/>
              <w:rPr/>
            </w:pPr>
            <w:r>
              <w:rPr/>
              <w:t>Managed database</w:t>
            </w:r>
          </w:p>
        </w:tc>
        <w:tc>
          <w:tcPr>
            <w:tcW w:w="5311" w:type="dxa"/>
            <w:tcBorders/>
            <w:vAlign w:val="center"/>
          </w:tcPr>
          <w:p>
            <w:pPr>
              <w:pStyle w:val="TableContents"/>
              <w:bidi w:val="0"/>
              <w:spacing w:before="0" w:after="170"/>
              <w:rPr/>
            </w:pPr>
            <w:r>
              <w:rPr/>
              <w:t>Amazon RDS</w:t>
            </w:r>
          </w:p>
        </w:tc>
        <w:tc>
          <w:tcPr>
            <w:tcW w:w="7666" w:type="dxa"/>
            <w:tcBorders/>
            <w:vAlign w:val="center"/>
          </w:tcPr>
          <w:p>
            <w:pPr>
              <w:pStyle w:val="TableContents"/>
              <w:bidi w:val="0"/>
              <w:spacing w:before="0" w:after="170"/>
              <w:rPr/>
            </w:pPr>
            <w:r>
              <w:rPr/>
              <w:t>Parameter groups, option groups, subnet groups, maintenance windows</w:t>
            </w:r>
          </w:p>
        </w:tc>
      </w:tr>
      <w:tr>
        <w:trPr/>
        <w:tc>
          <w:tcPr>
            <w:tcW w:w="2416" w:type="dxa"/>
            <w:tcBorders/>
            <w:vAlign w:val="center"/>
          </w:tcPr>
          <w:p>
            <w:pPr>
              <w:pStyle w:val="TableContents"/>
              <w:bidi w:val="0"/>
              <w:spacing w:before="0" w:after="170"/>
              <w:rPr/>
            </w:pPr>
            <w:r>
              <w:rPr/>
              <w:t>Object storage bucket</w:t>
            </w:r>
          </w:p>
        </w:tc>
        <w:tc>
          <w:tcPr>
            <w:tcW w:w="5311" w:type="dxa"/>
            <w:tcBorders/>
            <w:vAlign w:val="center"/>
          </w:tcPr>
          <w:p>
            <w:pPr>
              <w:pStyle w:val="TableContents"/>
              <w:bidi w:val="0"/>
              <w:spacing w:before="0" w:after="170"/>
              <w:rPr/>
            </w:pPr>
            <w:r>
              <w:rPr/>
              <w:t>Amazon S3</w:t>
            </w:r>
          </w:p>
        </w:tc>
        <w:tc>
          <w:tcPr>
            <w:tcW w:w="7666" w:type="dxa"/>
            <w:tcBorders/>
            <w:vAlign w:val="center"/>
          </w:tcPr>
          <w:p>
            <w:pPr>
              <w:pStyle w:val="TableContents"/>
              <w:bidi w:val="0"/>
              <w:spacing w:before="0" w:after="170"/>
              <w:rPr/>
            </w:pPr>
            <w:r>
              <w:rPr/>
              <w:t>Storage classes, lifecycle rules, most bucket policy detail</w:t>
            </w:r>
          </w:p>
        </w:tc>
      </w:tr>
      <w:tr>
        <w:trPr/>
        <w:tc>
          <w:tcPr>
            <w:tcW w:w="2416" w:type="dxa"/>
            <w:tcBorders/>
            <w:vAlign w:val="center"/>
          </w:tcPr>
          <w:p>
            <w:pPr>
              <w:pStyle w:val="TableContents"/>
              <w:bidi w:val="0"/>
              <w:spacing w:before="0" w:after="170"/>
              <w:rPr/>
            </w:pPr>
            <w:r>
              <w:rPr/>
              <w:t>CDN distribution</w:t>
            </w:r>
          </w:p>
        </w:tc>
        <w:tc>
          <w:tcPr>
            <w:tcW w:w="5311" w:type="dxa"/>
            <w:tcBorders/>
            <w:vAlign w:val="center"/>
          </w:tcPr>
          <w:p>
            <w:pPr>
              <w:pStyle w:val="TableContents"/>
              <w:bidi w:val="0"/>
              <w:spacing w:before="0" w:after="170"/>
              <w:rPr/>
            </w:pPr>
            <w:r>
              <w:rPr/>
              <w:t>Amazon CloudFront</w:t>
            </w:r>
          </w:p>
        </w:tc>
        <w:tc>
          <w:tcPr>
            <w:tcW w:w="7666" w:type="dxa"/>
            <w:tcBorders/>
            <w:vAlign w:val="center"/>
          </w:tcPr>
          <w:p>
            <w:pPr>
              <w:pStyle w:val="TableContents"/>
              <w:bidi w:val="0"/>
              <w:spacing w:before="0" w:after="170"/>
              <w:rPr/>
            </w:pPr>
            <w:r>
              <w:rPr/>
              <w:t>Cache behaviours, origin request policies, edge function hooks</w:t>
            </w:r>
          </w:p>
        </w:tc>
      </w:tr>
      <w:tr>
        <w:trPr/>
        <w:tc>
          <w:tcPr>
            <w:tcW w:w="2416" w:type="dxa"/>
            <w:tcBorders/>
            <w:vAlign w:val="center"/>
          </w:tcPr>
          <w:p>
            <w:pPr>
              <w:pStyle w:val="TableContents"/>
              <w:bidi w:val="0"/>
              <w:spacing w:before="0" w:after="170"/>
              <w:rPr/>
            </w:pPr>
            <w:r>
              <w:rPr/>
              <w:t>DNS zone</w:t>
            </w:r>
          </w:p>
        </w:tc>
        <w:tc>
          <w:tcPr>
            <w:tcW w:w="5311" w:type="dxa"/>
            <w:tcBorders/>
            <w:vAlign w:val="center"/>
          </w:tcPr>
          <w:p>
            <w:pPr>
              <w:pStyle w:val="TableContents"/>
              <w:bidi w:val="0"/>
              <w:spacing w:before="0" w:after="170"/>
              <w:rPr/>
            </w:pPr>
            <w:r>
              <w:rPr/>
              <w:t>Amazon Route 53</w:t>
            </w:r>
          </w:p>
        </w:tc>
        <w:tc>
          <w:tcPr>
            <w:tcW w:w="7666" w:type="dxa"/>
            <w:tcBorders/>
            <w:vAlign w:val="center"/>
          </w:tcPr>
          <w:p>
            <w:pPr>
              <w:pStyle w:val="TableContents"/>
              <w:bidi w:val="0"/>
              <w:spacing w:before="0" w:after="170"/>
              <w:rPr/>
            </w:pPr>
            <w:r>
              <w:rPr/>
              <w:t>Routing policies, health checks, traffic flow</w:t>
            </w:r>
          </w:p>
        </w:tc>
      </w:tr>
      <w:tr>
        <w:trPr/>
        <w:tc>
          <w:tcPr>
            <w:tcW w:w="2416" w:type="dxa"/>
            <w:tcBorders/>
            <w:vAlign w:val="center"/>
          </w:tcPr>
          <w:p>
            <w:pPr>
              <w:pStyle w:val="TableContents"/>
              <w:bidi w:val="0"/>
              <w:spacing w:before="0" w:after="170"/>
              <w:rPr/>
            </w:pPr>
            <w:r>
              <w:rPr/>
              <w:t>Static IP</w:t>
            </w:r>
          </w:p>
        </w:tc>
        <w:tc>
          <w:tcPr>
            <w:tcW w:w="5311" w:type="dxa"/>
            <w:tcBorders/>
            <w:vAlign w:val="center"/>
          </w:tcPr>
          <w:p>
            <w:pPr>
              <w:pStyle w:val="TableContents"/>
              <w:bidi w:val="0"/>
              <w:spacing w:before="0" w:after="170"/>
              <w:rPr/>
            </w:pPr>
            <w:r>
              <w:rPr/>
              <w:t>Elastic IP</w:t>
            </w:r>
          </w:p>
        </w:tc>
        <w:tc>
          <w:tcPr>
            <w:tcW w:w="7666" w:type="dxa"/>
            <w:tcBorders/>
            <w:vAlign w:val="center"/>
          </w:tcPr>
          <w:p>
            <w:pPr>
              <w:pStyle w:val="TableContents"/>
              <w:bidi w:val="0"/>
              <w:spacing w:before="0" w:after="170"/>
              <w:rPr/>
            </w:pPr>
            <w:r>
              <w:rPr/>
              <w:t>Allocation and association mechanics</w:t>
            </w:r>
          </w:p>
        </w:tc>
      </w:tr>
      <w:tr>
        <w:trPr/>
        <w:tc>
          <w:tcPr>
            <w:tcW w:w="2416" w:type="dxa"/>
            <w:tcBorders/>
            <w:vAlign w:val="center"/>
          </w:tcPr>
          <w:p>
            <w:pPr>
              <w:pStyle w:val="TableContents"/>
              <w:bidi w:val="0"/>
              <w:spacing w:before="0" w:after="170"/>
              <w:rPr/>
            </w:pPr>
            <w:r>
              <w:rPr/>
              <w:t>Snapshot</w:t>
            </w:r>
          </w:p>
        </w:tc>
        <w:tc>
          <w:tcPr>
            <w:tcW w:w="5311" w:type="dxa"/>
            <w:tcBorders/>
            <w:vAlign w:val="center"/>
          </w:tcPr>
          <w:p>
            <w:pPr>
              <w:pStyle w:val="TableContents"/>
              <w:bidi w:val="0"/>
              <w:spacing w:before="0" w:after="170"/>
              <w:rPr/>
            </w:pPr>
            <w:r>
              <w:rPr/>
              <w:t>EBS snapshot</w:t>
            </w:r>
          </w:p>
        </w:tc>
        <w:tc>
          <w:tcPr>
            <w:tcW w:w="7666" w:type="dxa"/>
            <w:tcBorders/>
            <w:vAlign w:val="center"/>
          </w:tcPr>
          <w:p>
            <w:pPr>
              <w:pStyle w:val="TableContents"/>
              <w:bidi w:val="0"/>
              <w:spacing w:before="0" w:after="170"/>
              <w:rPr/>
            </w:pPr>
            <w:r>
              <w:rPr/>
              <w:t>Snapshot lifecycle and copy semantics</w:t>
            </w:r>
          </w:p>
        </w:tc>
      </w:tr>
    </w:tbl>
    <w:p>
      <w:pPr>
        <w:pStyle w:val="BodyText"/>
        <w:bidi w:val="0"/>
        <w:rPr/>
      </w:pPr>
      <w:r>
        <w:rPr/>
        <w:t>This mapping is the single most important technical fact about Lightsail. The hardware and the services are unchanged from the rest of AWS; the product is the removal of configuration surface. That is also why migration to EC2 is a copy rather than a rewrite (Section 12).</w:t>
      </w:r>
    </w:p>
    <w:p>
      <w:pPr>
        <w:pStyle w:val="Heading3"/>
        <w:bidi w:val="0"/>
        <w:ind w:hanging="0" w:left="0" w:right="0"/>
        <w:jc w:val="left"/>
        <w:rPr/>
      </w:pPr>
      <w:bookmarkStart w:id="19" w:name="43-the-networking-model"/>
      <w:bookmarkEnd w:id="19"/>
      <w:r>
        <w:rPr/>
        <w:t>4.3 The Networking Model</w:t>
      </w:r>
    </w:p>
    <w:p>
      <w:pPr>
        <w:pStyle w:val="BodyText"/>
        <w:bidi w:val="0"/>
        <w:rPr/>
      </w:pPr>
      <w:r>
        <w:rPr/>
        <w:t xml:space="preserve">Lightsail resources are placed in an AWS-managed VPC that the customer does not design and cannot directly modify. This is the source of both the service's simplicity and its principal architectural limitation. To bridge the gap, Lightsail supports one-click </w:t>
      </w:r>
      <w:r>
        <w:rPr>
          <w:rStyle w:val="Strong"/>
        </w:rPr>
        <w:t>VPC peering</w:t>
      </w:r>
      <w:r>
        <w:rPr/>
        <w:t xml:space="preserve"> between the Lightsail-managed VPC and the default VPC of the same AWS account and Region, after which resources in the wider account — Amazon S3, Amazon RDS, AWS Lambda, Amazon CloudWatch and others — become reachable.</w:t>
      </w:r>
    </w:p>
    <w:p>
      <w:pPr>
        <w:pStyle w:val="HorizontalLine"/>
        <w:bidi w:val="0"/>
        <w:jc w:val="left"/>
        <w:rPr/>
      </w:pPr>
      <w:r>
        <w:rPr/>
      </w:r>
    </w:p>
    <w:p>
      <w:pPr>
        <w:pStyle w:val="Heading2"/>
        <w:bidi w:val="0"/>
        <w:ind w:hanging="0" w:left="0" w:right="0"/>
        <w:jc w:val="left"/>
        <w:rPr/>
      </w:pPr>
      <w:bookmarkStart w:id="20" w:name="5-core-components-and-resource-catalogue"/>
      <w:bookmarkEnd w:id="20"/>
      <w:r>
        <w:rPr/>
        <w:t>5. Core Components and Resource Catalogue</w:t>
      </w:r>
    </w:p>
    <w:p>
      <w:pPr>
        <w:pStyle w:val="BodyText"/>
        <w:bidi w:val="0"/>
        <w:rPr/>
      </w:pPr>
      <w:r>
        <w:rPr/>
        <w:t>Ten resource types constitute the whole service.</w:t>
      </w:r>
    </w:p>
    <w:tbl>
      <w:tblPr>
        <w:tblW w:w="13338" w:type="dxa"/>
        <w:jc w:val="left"/>
        <w:tblInd w:w="0" w:type="dxa"/>
        <w:tblLayout w:type="fixed"/>
        <w:tblCellMar>
          <w:top w:w="28" w:type="dxa"/>
          <w:left w:w="28" w:type="dxa"/>
          <w:bottom w:w="28" w:type="dxa"/>
          <w:right w:w="28" w:type="dxa"/>
        </w:tblCellMar>
      </w:tblPr>
      <w:tblGrid>
        <w:gridCol w:w="2416"/>
        <w:gridCol w:w="8731"/>
        <w:gridCol w:w="2191"/>
      </w:tblGrid>
      <w:tr>
        <w:trPr>
          <w:tblHeader w:val="true"/>
        </w:trPr>
        <w:tc>
          <w:tcPr>
            <w:tcW w:w="2416" w:type="dxa"/>
            <w:tcBorders/>
            <w:vAlign w:val="center"/>
          </w:tcPr>
          <w:p>
            <w:pPr>
              <w:pStyle w:val="TableHeading"/>
              <w:suppressLineNumbers/>
              <w:shd w:fill="232F3E" w:val="clear"/>
              <w:bidi w:val="0"/>
              <w:spacing w:before="0" w:after="170"/>
              <w:jc w:val="left"/>
              <w:rPr/>
            </w:pPr>
            <w:r>
              <w:rPr/>
              <w:t>Resource</w:t>
            </w:r>
          </w:p>
        </w:tc>
        <w:tc>
          <w:tcPr>
            <w:tcW w:w="8731" w:type="dxa"/>
            <w:tcBorders/>
            <w:vAlign w:val="center"/>
          </w:tcPr>
          <w:p>
            <w:pPr>
              <w:pStyle w:val="TableHeading"/>
              <w:suppressLineNumbers/>
              <w:shd w:fill="232F3E" w:val="clear"/>
              <w:bidi w:val="0"/>
              <w:spacing w:before="0" w:after="170"/>
              <w:jc w:val="left"/>
              <w:rPr/>
            </w:pPr>
            <w:r>
              <w:rPr/>
              <w:t>What it provides</w:t>
            </w:r>
          </w:p>
        </w:tc>
        <w:tc>
          <w:tcPr>
            <w:tcW w:w="2191" w:type="dxa"/>
            <w:tcBorders/>
            <w:vAlign w:val="center"/>
          </w:tcPr>
          <w:p>
            <w:pPr>
              <w:pStyle w:val="TableHeading"/>
              <w:suppressLineNumbers/>
              <w:shd w:fill="232F3E" w:val="clear"/>
              <w:bidi w:val="0"/>
              <w:spacing w:before="0" w:after="170"/>
              <w:jc w:val="left"/>
              <w:rPr/>
            </w:pPr>
            <w:r>
              <w:rPr/>
              <w:t>Built on</w:t>
            </w:r>
          </w:p>
        </w:tc>
      </w:tr>
      <w:tr>
        <w:trPr/>
        <w:tc>
          <w:tcPr>
            <w:tcW w:w="2416" w:type="dxa"/>
            <w:tcBorders/>
            <w:vAlign w:val="center"/>
          </w:tcPr>
          <w:p>
            <w:pPr>
              <w:pStyle w:val="TableContents"/>
              <w:bidi w:val="0"/>
              <w:spacing w:before="0" w:after="170"/>
              <w:rPr/>
            </w:pPr>
            <w:r>
              <w:rPr/>
              <w:t>Instance</w:t>
            </w:r>
          </w:p>
        </w:tc>
        <w:tc>
          <w:tcPr>
            <w:tcW w:w="8731" w:type="dxa"/>
            <w:tcBorders/>
            <w:vAlign w:val="center"/>
          </w:tcPr>
          <w:p>
            <w:pPr>
              <w:pStyle w:val="TableContents"/>
              <w:bidi w:val="0"/>
              <w:spacing w:before="0" w:after="170"/>
              <w:rPr/>
            </w:pPr>
            <w:r>
              <w:rPr/>
              <w:t>Virtual server with a fixed bundle of vCPU, RAM, SSD and data transfer</w:t>
            </w:r>
          </w:p>
        </w:tc>
        <w:tc>
          <w:tcPr>
            <w:tcW w:w="2191" w:type="dxa"/>
            <w:tcBorders/>
            <w:vAlign w:val="center"/>
          </w:tcPr>
          <w:p>
            <w:pPr>
              <w:pStyle w:val="TableContents"/>
              <w:bidi w:val="0"/>
              <w:spacing w:before="0" w:after="170"/>
              <w:rPr/>
            </w:pPr>
            <w:r>
              <w:rPr/>
              <w:t>Amazon EC2</w:t>
            </w:r>
          </w:p>
        </w:tc>
      </w:tr>
      <w:tr>
        <w:trPr/>
        <w:tc>
          <w:tcPr>
            <w:tcW w:w="2416" w:type="dxa"/>
            <w:tcBorders/>
            <w:vAlign w:val="center"/>
          </w:tcPr>
          <w:p>
            <w:pPr>
              <w:pStyle w:val="TableContents"/>
              <w:bidi w:val="0"/>
              <w:spacing w:before="0" w:after="170"/>
              <w:rPr/>
            </w:pPr>
            <w:r>
              <w:rPr/>
              <w:t>Container service</w:t>
            </w:r>
          </w:p>
        </w:tc>
        <w:tc>
          <w:tcPr>
            <w:tcW w:w="8731" w:type="dxa"/>
            <w:tcBorders/>
            <w:vAlign w:val="center"/>
          </w:tcPr>
          <w:p>
            <w:pPr>
              <w:pStyle w:val="TableContents"/>
              <w:bidi w:val="0"/>
              <w:spacing w:before="0" w:after="170"/>
              <w:rPr/>
            </w:pPr>
            <w:r>
              <w:rPr/>
              <w:t>Runs Docker images behind a managed HTTPS endpoint, with no cluster to operate</w:t>
            </w:r>
          </w:p>
        </w:tc>
        <w:tc>
          <w:tcPr>
            <w:tcW w:w="2191" w:type="dxa"/>
            <w:tcBorders/>
            <w:vAlign w:val="center"/>
          </w:tcPr>
          <w:p>
            <w:pPr>
              <w:pStyle w:val="TableContents"/>
              <w:bidi w:val="0"/>
              <w:spacing w:before="0" w:after="170"/>
              <w:rPr/>
            </w:pPr>
            <w:r>
              <w:rPr/>
              <w:t>ECS / Fargate</w:t>
            </w:r>
          </w:p>
        </w:tc>
      </w:tr>
      <w:tr>
        <w:trPr/>
        <w:tc>
          <w:tcPr>
            <w:tcW w:w="2416" w:type="dxa"/>
            <w:tcBorders/>
            <w:vAlign w:val="center"/>
          </w:tcPr>
          <w:p>
            <w:pPr>
              <w:pStyle w:val="TableContents"/>
              <w:bidi w:val="0"/>
              <w:spacing w:before="0" w:after="170"/>
              <w:rPr/>
            </w:pPr>
            <w:r>
              <w:rPr/>
              <w:t>Managed database</w:t>
            </w:r>
          </w:p>
        </w:tc>
        <w:tc>
          <w:tcPr>
            <w:tcW w:w="8731" w:type="dxa"/>
            <w:tcBorders/>
            <w:vAlign w:val="center"/>
          </w:tcPr>
          <w:p>
            <w:pPr>
              <w:pStyle w:val="TableContents"/>
              <w:bidi w:val="0"/>
              <w:spacing w:before="0" w:after="170"/>
              <w:rPr/>
            </w:pPr>
            <w:r>
              <w:rPr/>
              <w:t>MySQL or PostgreSQL with automated backups and an optional standby</w:t>
            </w:r>
          </w:p>
        </w:tc>
        <w:tc>
          <w:tcPr>
            <w:tcW w:w="2191" w:type="dxa"/>
            <w:tcBorders/>
            <w:vAlign w:val="center"/>
          </w:tcPr>
          <w:p>
            <w:pPr>
              <w:pStyle w:val="TableContents"/>
              <w:bidi w:val="0"/>
              <w:spacing w:before="0" w:after="170"/>
              <w:rPr/>
            </w:pPr>
            <w:r>
              <w:rPr/>
              <w:t>Amazon RDS</w:t>
            </w:r>
          </w:p>
        </w:tc>
      </w:tr>
      <w:tr>
        <w:trPr/>
        <w:tc>
          <w:tcPr>
            <w:tcW w:w="2416" w:type="dxa"/>
            <w:tcBorders/>
            <w:vAlign w:val="center"/>
          </w:tcPr>
          <w:p>
            <w:pPr>
              <w:pStyle w:val="TableContents"/>
              <w:bidi w:val="0"/>
              <w:spacing w:before="0" w:after="170"/>
              <w:rPr/>
            </w:pPr>
            <w:r>
              <w:rPr/>
              <w:t>Block storage disk</w:t>
            </w:r>
          </w:p>
        </w:tc>
        <w:tc>
          <w:tcPr>
            <w:tcW w:w="8731" w:type="dxa"/>
            <w:tcBorders/>
            <w:vAlign w:val="center"/>
          </w:tcPr>
          <w:p>
            <w:pPr>
              <w:pStyle w:val="TableContents"/>
              <w:bidi w:val="0"/>
              <w:spacing w:before="0" w:after="170"/>
              <w:rPr/>
            </w:pPr>
            <w:r>
              <w:rPr/>
              <w:t>Additional SSD volumes attached to a running instance</w:t>
            </w:r>
          </w:p>
        </w:tc>
        <w:tc>
          <w:tcPr>
            <w:tcW w:w="2191" w:type="dxa"/>
            <w:tcBorders/>
            <w:vAlign w:val="center"/>
          </w:tcPr>
          <w:p>
            <w:pPr>
              <w:pStyle w:val="TableContents"/>
              <w:bidi w:val="0"/>
              <w:spacing w:before="0" w:after="170"/>
              <w:rPr/>
            </w:pPr>
            <w:r>
              <w:rPr/>
              <w:t>Amazon EBS</w:t>
            </w:r>
          </w:p>
        </w:tc>
      </w:tr>
      <w:tr>
        <w:trPr/>
        <w:tc>
          <w:tcPr>
            <w:tcW w:w="2416" w:type="dxa"/>
            <w:tcBorders/>
            <w:vAlign w:val="center"/>
          </w:tcPr>
          <w:p>
            <w:pPr>
              <w:pStyle w:val="TableContents"/>
              <w:bidi w:val="0"/>
              <w:spacing w:before="0" w:after="170"/>
              <w:rPr/>
            </w:pPr>
            <w:r>
              <w:rPr/>
              <w:t>Object storage bucket</w:t>
            </w:r>
          </w:p>
        </w:tc>
        <w:tc>
          <w:tcPr>
            <w:tcW w:w="8731" w:type="dxa"/>
            <w:tcBorders/>
            <w:vAlign w:val="center"/>
          </w:tcPr>
          <w:p>
            <w:pPr>
              <w:pStyle w:val="TableContents"/>
              <w:bidi w:val="0"/>
              <w:spacing w:before="0" w:after="170"/>
              <w:rPr/>
            </w:pPr>
            <w:r>
              <w:rPr/>
              <w:t>Static assets, media and backups served over HTTPS</w:t>
            </w:r>
          </w:p>
        </w:tc>
        <w:tc>
          <w:tcPr>
            <w:tcW w:w="2191" w:type="dxa"/>
            <w:tcBorders/>
            <w:vAlign w:val="center"/>
          </w:tcPr>
          <w:p>
            <w:pPr>
              <w:pStyle w:val="TableContents"/>
              <w:bidi w:val="0"/>
              <w:spacing w:before="0" w:after="170"/>
              <w:rPr/>
            </w:pPr>
            <w:r>
              <w:rPr/>
              <w:t>Amazon S3</w:t>
            </w:r>
          </w:p>
        </w:tc>
      </w:tr>
      <w:tr>
        <w:trPr/>
        <w:tc>
          <w:tcPr>
            <w:tcW w:w="2416" w:type="dxa"/>
            <w:tcBorders/>
            <w:vAlign w:val="center"/>
          </w:tcPr>
          <w:p>
            <w:pPr>
              <w:pStyle w:val="TableContents"/>
              <w:bidi w:val="0"/>
              <w:spacing w:before="0" w:after="170"/>
              <w:rPr/>
            </w:pPr>
            <w:r>
              <w:rPr/>
              <w:t>Load balancer</w:t>
            </w:r>
          </w:p>
        </w:tc>
        <w:tc>
          <w:tcPr>
            <w:tcW w:w="8731" w:type="dxa"/>
            <w:tcBorders/>
            <w:vAlign w:val="center"/>
          </w:tcPr>
          <w:p>
            <w:pPr>
              <w:pStyle w:val="TableContents"/>
              <w:bidi w:val="0"/>
              <w:spacing w:before="0" w:after="170"/>
              <w:rPr/>
            </w:pPr>
            <w:r>
              <w:rPr/>
              <w:t>Distributes traffic across instances; includes a free, auto-renewed certificate</w:t>
            </w:r>
          </w:p>
        </w:tc>
        <w:tc>
          <w:tcPr>
            <w:tcW w:w="2191" w:type="dxa"/>
            <w:tcBorders/>
            <w:vAlign w:val="center"/>
          </w:tcPr>
          <w:p>
            <w:pPr>
              <w:pStyle w:val="TableContents"/>
              <w:bidi w:val="0"/>
              <w:spacing w:before="0" w:after="170"/>
              <w:rPr/>
            </w:pPr>
            <w:r>
              <w:rPr/>
              <w:t>ELB + ACM</w:t>
            </w:r>
          </w:p>
        </w:tc>
      </w:tr>
      <w:tr>
        <w:trPr/>
        <w:tc>
          <w:tcPr>
            <w:tcW w:w="2416" w:type="dxa"/>
            <w:tcBorders/>
            <w:vAlign w:val="center"/>
          </w:tcPr>
          <w:p>
            <w:pPr>
              <w:pStyle w:val="TableContents"/>
              <w:bidi w:val="0"/>
              <w:spacing w:before="0" w:after="170"/>
              <w:rPr/>
            </w:pPr>
            <w:r>
              <w:rPr/>
              <w:t>CDN distribution</w:t>
            </w:r>
          </w:p>
        </w:tc>
        <w:tc>
          <w:tcPr>
            <w:tcW w:w="8731" w:type="dxa"/>
            <w:tcBorders/>
            <w:vAlign w:val="center"/>
          </w:tcPr>
          <w:p>
            <w:pPr>
              <w:pStyle w:val="TableContents"/>
              <w:bidi w:val="0"/>
              <w:spacing w:before="0" w:after="170"/>
              <w:rPr/>
            </w:pPr>
            <w:r>
              <w:rPr/>
              <w:t>Edge caching in front of an instance, bucket or load balancer</w:t>
            </w:r>
          </w:p>
        </w:tc>
        <w:tc>
          <w:tcPr>
            <w:tcW w:w="2191" w:type="dxa"/>
            <w:tcBorders/>
            <w:vAlign w:val="center"/>
          </w:tcPr>
          <w:p>
            <w:pPr>
              <w:pStyle w:val="TableContents"/>
              <w:bidi w:val="0"/>
              <w:spacing w:before="0" w:after="170"/>
              <w:rPr/>
            </w:pPr>
            <w:r>
              <w:rPr/>
              <w:t>Amazon CloudFront</w:t>
            </w:r>
          </w:p>
        </w:tc>
      </w:tr>
      <w:tr>
        <w:trPr/>
        <w:tc>
          <w:tcPr>
            <w:tcW w:w="2416" w:type="dxa"/>
            <w:tcBorders/>
            <w:vAlign w:val="center"/>
          </w:tcPr>
          <w:p>
            <w:pPr>
              <w:pStyle w:val="TableContents"/>
              <w:bidi w:val="0"/>
              <w:spacing w:before="0" w:after="170"/>
              <w:rPr/>
            </w:pPr>
            <w:r>
              <w:rPr/>
              <w:t>DNS zone</w:t>
            </w:r>
          </w:p>
        </w:tc>
        <w:tc>
          <w:tcPr>
            <w:tcW w:w="8731" w:type="dxa"/>
            <w:tcBorders/>
            <w:vAlign w:val="center"/>
          </w:tcPr>
          <w:p>
            <w:pPr>
              <w:pStyle w:val="TableContents"/>
              <w:bidi w:val="0"/>
              <w:spacing w:before="0" w:after="170"/>
              <w:rPr/>
            </w:pPr>
            <w:r>
              <w:rPr/>
              <w:t>Authoritative DNS with three million queries per month included</w:t>
            </w:r>
          </w:p>
        </w:tc>
        <w:tc>
          <w:tcPr>
            <w:tcW w:w="2191" w:type="dxa"/>
            <w:tcBorders/>
            <w:vAlign w:val="center"/>
          </w:tcPr>
          <w:p>
            <w:pPr>
              <w:pStyle w:val="TableContents"/>
              <w:bidi w:val="0"/>
              <w:spacing w:before="0" w:after="170"/>
              <w:rPr/>
            </w:pPr>
            <w:r>
              <w:rPr/>
              <w:t>Amazon Route 53</w:t>
            </w:r>
          </w:p>
        </w:tc>
      </w:tr>
      <w:tr>
        <w:trPr/>
        <w:tc>
          <w:tcPr>
            <w:tcW w:w="2416" w:type="dxa"/>
            <w:tcBorders/>
            <w:vAlign w:val="center"/>
          </w:tcPr>
          <w:p>
            <w:pPr>
              <w:pStyle w:val="TableContents"/>
              <w:bidi w:val="0"/>
              <w:spacing w:before="0" w:after="170"/>
              <w:rPr/>
            </w:pPr>
            <w:r>
              <w:rPr/>
              <w:t>Static IP</w:t>
            </w:r>
          </w:p>
        </w:tc>
        <w:tc>
          <w:tcPr>
            <w:tcW w:w="8731" w:type="dxa"/>
            <w:tcBorders/>
            <w:vAlign w:val="center"/>
          </w:tcPr>
          <w:p>
            <w:pPr>
              <w:pStyle w:val="TableContents"/>
              <w:bidi w:val="0"/>
              <w:spacing w:before="0" w:after="170"/>
              <w:rPr/>
            </w:pPr>
            <w:r>
              <w:rPr/>
              <w:t>A fixed public IPv4 address that survives stop, start and restore</w:t>
            </w:r>
          </w:p>
        </w:tc>
        <w:tc>
          <w:tcPr>
            <w:tcW w:w="2191" w:type="dxa"/>
            <w:tcBorders/>
            <w:vAlign w:val="center"/>
          </w:tcPr>
          <w:p>
            <w:pPr>
              <w:pStyle w:val="TableContents"/>
              <w:bidi w:val="0"/>
              <w:spacing w:before="0" w:after="170"/>
              <w:rPr/>
            </w:pPr>
            <w:r>
              <w:rPr/>
              <w:t>Elastic IP</w:t>
            </w:r>
          </w:p>
        </w:tc>
      </w:tr>
      <w:tr>
        <w:trPr/>
        <w:tc>
          <w:tcPr>
            <w:tcW w:w="2416" w:type="dxa"/>
            <w:tcBorders/>
            <w:vAlign w:val="center"/>
          </w:tcPr>
          <w:p>
            <w:pPr>
              <w:pStyle w:val="TableContents"/>
              <w:bidi w:val="0"/>
              <w:spacing w:before="0" w:after="170"/>
              <w:rPr/>
            </w:pPr>
            <w:r>
              <w:rPr/>
              <w:t>Snapshot</w:t>
            </w:r>
          </w:p>
        </w:tc>
        <w:tc>
          <w:tcPr>
            <w:tcW w:w="8731" w:type="dxa"/>
            <w:tcBorders/>
            <w:vAlign w:val="center"/>
          </w:tcPr>
          <w:p>
            <w:pPr>
              <w:pStyle w:val="TableContents"/>
              <w:bidi w:val="0"/>
              <w:spacing w:before="0" w:after="170"/>
              <w:rPr/>
            </w:pPr>
            <w:r>
              <w:rPr/>
              <w:t>Point-in-time backup of an instance or disk; exportable to EC2</w:t>
            </w:r>
          </w:p>
        </w:tc>
        <w:tc>
          <w:tcPr>
            <w:tcW w:w="2191" w:type="dxa"/>
            <w:tcBorders/>
            <w:vAlign w:val="center"/>
          </w:tcPr>
          <w:p>
            <w:pPr>
              <w:pStyle w:val="TableContents"/>
              <w:bidi w:val="0"/>
              <w:spacing w:before="0" w:after="170"/>
              <w:rPr/>
            </w:pPr>
            <w:r>
              <w:rPr/>
              <w:t>EBS snapshot</w:t>
            </w:r>
          </w:p>
        </w:tc>
      </w:tr>
    </w:tbl>
    <w:p>
      <w:pPr>
        <w:pStyle w:val="Heading3"/>
        <w:bidi w:val="0"/>
        <w:ind w:hanging="0" w:left="0" w:right="0"/>
        <w:jc w:val="left"/>
        <w:rPr/>
      </w:pPr>
      <w:bookmarkStart w:id="21" w:name="51-instances-blueprints-and-bundles"/>
      <w:bookmarkEnd w:id="21"/>
      <w:r>
        <w:rPr/>
        <w:t>5.1 Instances: Blueprints and Bundles</w:t>
      </w:r>
    </w:p>
    <w:p>
      <w:pPr>
        <w:pStyle w:val="BodyText"/>
        <w:bidi w:val="0"/>
        <w:rPr/>
      </w:pPr>
      <w:r>
        <w:rPr/>
        <w:t>Creating a Lightsail instance requires exactly two decisions.</w:t>
      </w:r>
    </w:p>
    <w:p>
      <w:pPr>
        <w:pStyle w:val="BodyText"/>
        <w:bidi w:val="0"/>
        <w:rPr/>
      </w:pPr>
      <w:r>
        <w:rPr>
          <w:rStyle w:val="Strong"/>
        </w:rPr>
        <w:t>The blueprint</w:t>
      </w:r>
      <w:r>
        <w:rPr/>
        <w:t xml:space="preserve"> determines the software the machine boots into.</w:t>
      </w:r>
    </w:p>
    <w:p>
      <w:pPr>
        <w:pStyle w:val="BodyText"/>
        <w:bidi w:val="0"/>
        <w:rPr/>
      </w:pPr>
      <w:r>
        <w:rPr>
          <w:rStyle w:val="Emphasis"/>
        </w:rPr>
        <w:t>Operating system blueprints:</w:t>
      </w:r>
      <w:r>
        <w:rPr/>
        <w:t xml:space="preserve"> Amazon Linux 2, Amazon Linux 2023, Ubuntu, Debian, AlmaLinux OS 9, CentOS, FreeBSD, openSUSE, and Windows Server 2016, 2019 and 2022.</w:t>
      </w:r>
    </w:p>
    <w:p>
      <w:pPr>
        <w:pStyle w:val="BodyText"/>
        <w:bidi w:val="0"/>
        <w:rPr/>
      </w:pPr>
      <w:r>
        <w:rPr>
          <w:rStyle w:val="Emphasis"/>
        </w:rPr>
        <w:t>Application blueprints:</w:t>
      </w:r>
      <w:r>
        <w:rPr/>
        <w:t xml:space="preserve"> WordPress, WordPress Multisite, LAMP, Nginx (LEMP), Node.js, Ruby on Rails, Django, Drupal, Joomla!, Magento, PrestaShop, Ghost, Redmine, GitLab, MEAN, cPanel &amp; WHM, and Plesk.</w:t>
      </w:r>
    </w:p>
    <w:p>
      <w:pPr>
        <w:pStyle w:val="BlockQuotation"/>
        <w:bidi w:val="0"/>
        <w:jc w:val="left"/>
        <w:rPr/>
      </w:pPr>
      <w:r>
        <w:rPr>
          <w:rStyle w:val="Strong"/>
        </w:rPr>
        <w:t>Important — blueprint transition in progress.</w:t>
      </w:r>
      <w:r>
        <w:rPr/>
        <w:t xml:space="preserve"> Many application blueprints were historically packaged by Bitnami. AWS stopped providing newer Bitnami-packaged versions on </w:t>
      </w:r>
      <w:r>
        <w:rPr>
          <w:rStyle w:val="Strong"/>
        </w:rPr>
        <w:t>19 May 2026</w:t>
      </w:r>
      <w:r>
        <w:rPr/>
        <w:t xml:space="preserve">. The WordPress, WordPress Multisite, LAMP, Nginx and Node.js Bitnami blueprints are deprecated on </w:t>
      </w:r>
      <w:r>
        <w:rPr>
          <w:rStyle w:val="Strong"/>
        </w:rPr>
        <w:t>19 November 2026</w:t>
      </w:r>
      <w:r>
        <w:rPr/>
        <w:t xml:space="preserve">, and Joomla, Magento, MEAN, Drupal, GitLab, Redmine, Ghost, Django and PrestaShop follow on </w:t>
      </w:r>
      <w:r>
        <w:rPr>
          <w:rStyle w:val="Strong"/>
        </w:rPr>
        <w:t>19 May 2027</w:t>
      </w:r>
      <w:r>
        <w:rPr/>
        <w:t>. AWS-maintained replacements for Node.js, LAMP and Ruby on Rails were released in January 2026. New projects should select an AWS-maintained blueprint or a plain OS image.</w:t>
      </w:r>
    </w:p>
    <w:p>
      <w:pPr>
        <w:pStyle w:val="BodyText"/>
        <w:bidi w:val="0"/>
        <w:rPr/>
      </w:pPr>
      <w:r>
        <w:rPr>
          <w:rStyle w:val="Strong"/>
        </w:rPr>
        <w:t>The bundle</w:t>
      </w:r>
      <w:r>
        <w:rPr/>
        <w:t xml:space="preserve"> determines the hardware and the price, which are fixed together. Three families exist:</w:t>
      </w:r>
    </w:p>
    <w:p>
      <w:pPr>
        <w:pStyle w:val="BodyText"/>
        <w:numPr>
          <w:ilvl w:val="0"/>
          <w:numId w:val="7"/>
        </w:numPr>
        <w:tabs>
          <w:tab w:val="clear" w:pos="1134"/>
          <w:tab w:val="left" w:pos="709" w:leader="none"/>
        </w:tabs>
        <w:bidi w:val="0"/>
        <w:spacing w:before="0" w:after="0"/>
        <w:ind w:hanging="283" w:left="709"/>
        <w:rPr/>
      </w:pPr>
      <w:r>
        <w:rPr>
          <w:rStyle w:val="Strong"/>
        </w:rPr>
        <w:t>General purpose</w:t>
      </w:r>
      <w:r>
        <w:rPr/>
        <w:t xml:space="preserve"> — eight sizes from 512 MB to 64 GB of memory (Section 6.1). </w:t>
      </w:r>
    </w:p>
    <w:p>
      <w:pPr>
        <w:pStyle w:val="BodyText"/>
        <w:numPr>
          <w:ilvl w:val="0"/>
          <w:numId w:val="7"/>
        </w:numPr>
        <w:tabs>
          <w:tab w:val="clear" w:pos="1134"/>
          <w:tab w:val="left" w:pos="709" w:leader="none"/>
        </w:tabs>
        <w:bidi w:val="0"/>
        <w:spacing w:before="0" w:after="0"/>
        <w:ind w:hanging="283" w:left="709"/>
        <w:rPr/>
      </w:pPr>
      <w:r>
        <w:rPr>
          <w:rStyle w:val="Strong"/>
        </w:rPr>
        <w:t>Memory optimised</w:t>
      </w:r>
      <w:r>
        <w:rPr/>
        <w:t xml:space="preserve"> — introduced February 2026, seven sizes to 512 GB of memory, for in-memory caching, real-time analytics and large database workloads. </w:t>
      </w:r>
    </w:p>
    <w:p>
      <w:pPr>
        <w:pStyle w:val="BodyText"/>
        <w:numPr>
          <w:ilvl w:val="0"/>
          <w:numId w:val="7"/>
        </w:numPr>
        <w:tabs>
          <w:tab w:val="clear" w:pos="1134"/>
          <w:tab w:val="left" w:pos="709" w:leader="none"/>
        </w:tabs>
        <w:bidi w:val="0"/>
        <w:ind w:hanging="283" w:left="709"/>
        <w:rPr/>
      </w:pPr>
      <w:r>
        <w:rPr>
          <w:rStyle w:val="Strong"/>
        </w:rPr>
        <w:t>Compute optimised</w:t>
      </w:r>
      <w:r>
        <w:rPr/>
        <w:t xml:space="preserve"> — introduced April 2026, seven sizes to 72 vCPU, for batch processing, media encoding, high-performance web servers and CPU-bound inference. </w:t>
      </w:r>
    </w:p>
    <w:p>
      <w:pPr>
        <w:pStyle w:val="BodyText"/>
        <w:bidi w:val="0"/>
        <w:rPr/>
      </w:pPr>
      <w:r>
        <w:rPr/>
        <w:t xml:space="preserve">Entry-level bundles use </w:t>
      </w:r>
      <w:r>
        <w:rPr>
          <w:rStyle w:val="Strong"/>
        </w:rPr>
        <w:t>burstable</w:t>
      </w:r>
      <w:r>
        <w:rPr/>
        <w:t xml:space="preserve"> vCPU: the instance receives a baseline share of CPU and accrues credits when idle, which it spends when bursting above baseline. Sustained full load exhausts the credits and the instance is throttled to baseline. Bundles at $24 per month and above provide dedicated vCPU and do not exhibit this behaviour. This distinction is frequently overlooked and is a common cause of unexplained performance complaints on the cheapest plans.</w:t>
      </w:r>
    </w:p>
    <w:p>
      <w:pPr>
        <w:pStyle w:val="Heading3"/>
        <w:bidi w:val="0"/>
        <w:ind w:hanging="0" w:left="0" w:right="0"/>
        <w:jc w:val="left"/>
        <w:rPr/>
      </w:pPr>
      <w:bookmarkStart w:id="22" w:name="52-containers"/>
      <w:bookmarkEnd w:id="22"/>
      <w:r>
        <w:rPr/>
        <w:t>5.2 Containers</w:t>
      </w:r>
    </w:p>
    <w:p>
      <w:pPr>
        <w:pStyle w:val="BodyText"/>
        <w:bidi w:val="0"/>
        <w:rPr/>
      </w:pPr>
      <w:r>
        <w:rPr/>
        <w:t xml:space="preserve">The Lightsail container service runs Docker images behind a managed HTTPS endpoint with a provided domain name and certificate, requiring no cluster, load balancer or orchestrator configuration. A service is defined by a </w:t>
      </w:r>
      <w:r>
        <w:rPr>
          <w:rStyle w:val="Strong"/>
        </w:rPr>
        <w:t>power</w:t>
      </w:r>
      <w:r>
        <w:rPr/>
        <w:t xml:space="preserve"> (the node size: Nano, Micro, Small, Medium, Large or XLarge) and a </w:t>
      </w:r>
      <w:r>
        <w:rPr>
          <w:rStyle w:val="Strong"/>
        </w:rPr>
        <w:t>scale</w:t>
      </w:r>
      <w:r>
        <w:rPr/>
        <w:t xml:space="preserve"> (the number of nodes). The monthly price is the power price multiplied by the node count. Each container service includes a 500 GB monthly data-transfer quota. Unlike instances, container services can be scaled by changing the node count, which is the closest the service comes to elasticity.</w:t>
      </w:r>
    </w:p>
    <w:p>
      <w:pPr>
        <w:pStyle w:val="Heading3"/>
        <w:bidi w:val="0"/>
        <w:ind w:hanging="0" w:left="0" w:right="0"/>
        <w:jc w:val="left"/>
        <w:rPr/>
      </w:pPr>
      <w:bookmarkStart w:id="23" w:name="53-managed-databases"/>
      <w:bookmarkEnd w:id="23"/>
      <w:r>
        <w:rPr/>
        <w:t>5.3 Managed Databases</w:t>
      </w:r>
    </w:p>
    <w:p>
      <w:pPr>
        <w:pStyle w:val="BodyText"/>
        <w:bidi w:val="0"/>
        <w:rPr/>
      </w:pPr>
      <w:r>
        <w:rPr/>
        <w:t xml:space="preserve">Lightsail managed databases run MySQL or PostgreSQL with automated backups, automatic patching and a choice of </w:t>
      </w:r>
      <w:r>
        <w:rPr>
          <w:rStyle w:val="Strong"/>
        </w:rPr>
        <w:t>standard</w:t>
      </w:r>
      <w:r>
        <w:rPr/>
        <w:t xml:space="preserve"> or </w:t>
      </w:r>
      <w:r>
        <w:rPr>
          <w:rStyle w:val="Strong"/>
        </w:rPr>
        <w:t>high-availability</w:t>
      </w:r>
      <w:r>
        <w:rPr/>
        <w:t xml:space="preserve"> plans. High-availability plans maintain a synchronous standby in a second Availability Zone and cost exactly double the standard plan. Larger database bundles were added in January 2026, reaching 8 vCPU, 32 GB of memory and 960 GB of storage.</w:t>
      </w:r>
    </w:p>
    <w:p>
      <w:pPr>
        <w:pStyle w:val="Heading3"/>
        <w:bidi w:val="0"/>
        <w:ind w:hanging="0" w:left="0" w:right="0"/>
        <w:jc w:val="left"/>
        <w:rPr/>
      </w:pPr>
      <w:bookmarkStart w:id="24" w:name="54-storage"/>
      <w:bookmarkEnd w:id="24"/>
      <w:r>
        <w:rPr/>
        <w:t>5.4 Storage</w:t>
      </w:r>
    </w:p>
    <w:p>
      <w:pPr>
        <w:pStyle w:val="BodyText"/>
        <w:bidi w:val="0"/>
        <w:rPr/>
      </w:pPr>
      <w:r>
        <w:rPr>
          <w:rStyle w:val="Strong"/>
        </w:rPr>
        <w:t>Block storage</w:t>
      </w:r>
      <w:r>
        <w:rPr/>
        <w:t xml:space="preserve"> provides additional SSD volumes attached to a running instance, billed per gigabyte per month, with up to 16 TB attachable per instance. </w:t>
      </w:r>
      <w:r>
        <w:rPr>
          <w:rStyle w:val="Strong"/>
        </w:rPr>
        <w:t>Object storage buckets</w:t>
      </w:r>
      <w:r>
        <w:rPr/>
        <w:t xml:space="preserve"> serve static assets, media and backups over HTTPS, sold in three fixed bundles rather than metered per request.</w:t>
      </w:r>
    </w:p>
    <w:p>
      <w:pPr>
        <w:pStyle w:val="Heading3"/>
        <w:bidi w:val="0"/>
        <w:ind w:hanging="0" w:left="0" w:right="0"/>
        <w:jc w:val="left"/>
        <w:rPr/>
      </w:pPr>
      <w:bookmarkStart w:id="25" w:name="55-delivery-load-balancers-cdn-dns-and-s"/>
      <w:bookmarkEnd w:id="25"/>
      <w:r>
        <w:rPr/>
        <w:t>5.5 Delivery: Load Balancers, CDN, DNS and Static IPs</w:t>
      </w:r>
    </w:p>
    <w:p>
      <w:pPr>
        <w:pStyle w:val="BodyText"/>
        <w:bidi w:val="0"/>
        <w:rPr/>
      </w:pPr>
      <w:r>
        <w:rPr/>
        <w:t xml:space="preserve">The </w:t>
      </w:r>
      <w:r>
        <w:rPr>
          <w:rStyle w:val="Strong"/>
        </w:rPr>
        <w:t>load balancer</w:t>
      </w:r>
      <w:r>
        <w:rPr/>
        <w:t xml:space="preserve"> distributes traffic across instances in multiple Availability Zones, performs health checks, terminates TLS, and — notably — issues and automatically renews certificates at no additional charge. </w:t>
      </w:r>
      <w:r>
        <w:rPr>
          <w:rStyle w:val="Strong"/>
        </w:rPr>
        <w:t>CDN distributions</w:t>
      </w:r>
      <w:r>
        <w:rPr/>
        <w:t xml:space="preserve"> place CloudFront in front of an instance, bucket or load balancer. </w:t>
      </w:r>
      <w:r>
        <w:rPr>
          <w:rStyle w:val="Strong"/>
        </w:rPr>
        <w:t>DNS zones</w:t>
      </w:r>
      <w:r>
        <w:rPr/>
        <w:t xml:space="preserve"> provide authoritative DNS with three million queries per month included, up to six zones by default. </w:t>
      </w:r>
      <w:r>
        <w:rPr>
          <w:rStyle w:val="Strong"/>
        </w:rPr>
        <w:t>Static IPs</w:t>
      </w:r>
      <w:r>
        <w:rPr/>
        <w:t xml:space="preserve"> are fixed public IPv4 addresses that survive instance stop, start and restore; they are free while attached and billed only if left unattached.</w:t>
      </w:r>
    </w:p>
    <w:p>
      <w:pPr>
        <w:pStyle w:val="HorizontalLine"/>
        <w:bidi w:val="0"/>
        <w:jc w:val="left"/>
        <w:rPr/>
      </w:pPr>
      <w:r>
        <w:rPr/>
      </w:r>
    </w:p>
    <w:p>
      <w:pPr>
        <w:pStyle w:val="Heading2"/>
        <w:bidi w:val="0"/>
        <w:ind w:hanging="0" w:left="0" w:right="0"/>
        <w:jc w:val="left"/>
        <w:rPr/>
      </w:pPr>
      <w:bookmarkStart w:id="26" w:name="6-the-pricing-model"/>
      <w:bookmarkEnd w:id="26"/>
      <w:r>
        <w:rPr/>
        <w:t>6. The Pricing Model</w:t>
      </w:r>
    </w:p>
    <w:p>
      <w:pPr>
        <w:pStyle w:val="Heading3"/>
        <w:bidi w:val="0"/>
        <w:ind w:hanging="0" w:left="0" w:right="0"/>
        <w:jc w:val="left"/>
        <w:rPr/>
      </w:pPr>
      <w:bookmarkStart w:id="27" w:name="61-instance-bundles"/>
      <w:bookmarkEnd w:id="27"/>
      <w:r>
        <w:rPr/>
        <w:t>6.1 Instance Bundles</w:t>
      </w:r>
    </w:p>
    <w:p>
      <w:pPr>
        <w:pStyle w:val="BodyText"/>
        <w:bidi w:val="0"/>
        <w:rPr/>
      </w:pPr>
      <w:r>
        <w:rPr/>
        <w:t>Linux/Unix general-purpose bundles with a public IPv4 address, as published in August 2026:</w:t>
      </w:r>
    </w:p>
    <w:tbl>
      <w:tblPr>
        <w:tblW w:w="10372" w:type="dxa"/>
        <w:jc w:val="left"/>
        <w:tblInd w:w="0" w:type="dxa"/>
        <w:tblLayout w:type="fixed"/>
        <w:tblCellMar>
          <w:top w:w="28" w:type="dxa"/>
          <w:left w:w="28" w:type="dxa"/>
          <w:bottom w:w="28" w:type="dxa"/>
          <w:right w:w="28" w:type="dxa"/>
        </w:tblCellMar>
      </w:tblPr>
      <w:tblGrid>
        <w:gridCol w:w="991"/>
        <w:gridCol w:w="1051"/>
        <w:gridCol w:w="721"/>
        <w:gridCol w:w="1531"/>
        <w:gridCol w:w="2056"/>
        <w:gridCol w:w="1771"/>
        <w:gridCol w:w="2251"/>
      </w:tblGrid>
      <w:tr>
        <w:trPr>
          <w:tblHeader w:val="true"/>
        </w:trPr>
        <w:tc>
          <w:tcPr>
            <w:tcW w:w="991" w:type="dxa"/>
            <w:tcBorders/>
            <w:vAlign w:val="center"/>
          </w:tcPr>
          <w:p>
            <w:pPr>
              <w:pStyle w:val="TableHeading"/>
              <w:bidi w:val="0"/>
              <w:spacing w:before="0" w:after="170"/>
              <w:ind w:hanging="0" w:left="0" w:right="0"/>
              <w:jc w:val="left"/>
              <w:rPr/>
            </w:pPr>
            <w:r>
              <w:rPr/>
              <w:t>Bundle</w:t>
            </w:r>
          </w:p>
        </w:tc>
        <w:tc>
          <w:tcPr>
            <w:tcW w:w="1051" w:type="dxa"/>
            <w:tcBorders/>
            <w:vAlign w:val="center"/>
          </w:tcPr>
          <w:p>
            <w:pPr>
              <w:pStyle w:val="TableHeading"/>
              <w:bidi w:val="0"/>
              <w:spacing w:before="0" w:after="170"/>
              <w:ind w:hanging="0" w:left="0" w:right="0"/>
              <w:jc w:val="right"/>
              <w:rPr/>
            </w:pPr>
            <w:r>
              <w:rPr/>
              <w:t>Memory</w:t>
            </w:r>
          </w:p>
        </w:tc>
        <w:tc>
          <w:tcPr>
            <w:tcW w:w="721" w:type="dxa"/>
            <w:tcBorders/>
            <w:vAlign w:val="center"/>
          </w:tcPr>
          <w:p>
            <w:pPr>
              <w:pStyle w:val="TableHeading"/>
              <w:bidi w:val="0"/>
              <w:spacing w:before="0" w:after="170"/>
              <w:ind w:hanging="0" w:left="0" w:right="0"/>
              <w:jc w:val="right"/>
              <w:rPr/>
            </w:pPr>
            <w:r>
              <w:rPr/>
              <w:t>vCPU</w:t>
            </w:r>
          </w:p>
        </w:tc>
        <w:tc>
          <w:tcPr>
            <w:tcW w:w="1531" w:type="dxa"/>
            <w:tcBorders/>
            <w:vAlign w:val="center"/>
          </w:tcPr>
          <w:p>
            <w:pPr>
              <w:pStyle w:val="TableHeading"/>
              <w:bidi w:val="0"/>
              <w:spacing w:before="0" w:after="170"/>
              <w:ind w:hanging="0" w:left="0" w:right="0"/>
              <w:jc w:val="right"/>
              <w:rPr/>
            </w:pPr>
            <w:r>
              <w:rPr/>
              <w:t>SSD storage</w:t>
            </w:r>
          </w:p>
        </w:tc>
        <w:tc>
          <w:tcPr>
            <w:tcW w:w="2056" w:type="dxa"/>
            <w:tcBorders/>
            <w:vAlign w:val="center"/>
          </w:tcPr>
          <w:p>
            <w:pPr>
              <w:pStyle w:val="TableHeading"/>
              <w:bidi w:val="0"/>
              <w:spacing w:before="0" w:after="170"/>
              <w:ind w:hanging="0" w:left="0" w:right="0"/>
              <w:jc w:val="right"/>
              <w:rPr/>
            </w:pPr>
            <w:r>
              <w:rPr/>
              <w:t>Transfer / month</w:t>
            </w:r>
          </w:p>
        </w:tc>
        <w:tc>
          <w:tcPr>
            <w:tcW w:w="1771" w:type="dxa"/>
            <w:tcBorders/>
            <w:vAlign w:val="center"/>
          </w:tcPr>
          <w:p>
            <w:pPr>
              <w:pStyle w:val="TableHeading"/>
              <w:bidi w:val="0"/>
              <w:spacing w:before="0" w:after="170"/>
              <w:ind w:hanging="0" w:left="0" w:right="0"/>
              <w:jc w:val="right"/>
              <w:rPr/>
            </w:pPr>
            <w:r>
              <w:rPr/>
              <w:t>Linux $/month</w:t>
            </w:r>
          </w:p>
        </w:tc>
        <w:tc>
          <w:tcPr>
            <w:tcW w:w="2251" w:type="dxa"/>
            <w:tcBorders/>
            <w:vAlign w:val="center"/>
          </w:tcPr>
          <w:p>
            <w:pPr>
              <w:pStyle w:val="TableHeading"/>
              <w:bidi w:val="0"/>
              <w:spacing w:before="0" w:after="170"/>
              <w:jc w:val="right"/>
              <w:rPr/>
            </w:pPr>
            <w:r>
              <w:rPr/>
              <w:t>Windows $/month</w:t>
            </w:r>
          </w:p>
        </w:tc>
      </w:tr>
      <w:tr>
        <w:trPr/>
        <w:tc>
          <w:tcPr>
            <w:tcW w:w="991" w:type="dxa"/>
            <w:tcBorders/>
            <w:vAlign w:val="center"/>
          </w:tcPr>
          <w:p>
            <w:pPr>
              <w:pStyle w:val="TableContents"/>
              <w:bidi w:val="0"/>
              <w:spacing w:before="0" w:after="170"/>
              <w:ind w:hanging="0" w:left="0" w:right="0"/>
              <w:rPr/>
            </w:pPr>
            <w:r>
              <w:rPr/>
              <w:t>Nano</w:t>
            </w:r>
          </w:p>
        </w:tc>
        <w:tc>
          <w:tcPr>
            <w:tcW w:w="1051" w:type="dxa"/>
            <w:tcBorders/>
            <w:vAlign w:val="center"/>
          </w:tcPr>
          <w:p>
            <w:pPr>
              <w:pStyle w:val="TableContents"/>
              <w:bidi w:val="0"/>
              <w:spacing w:before="0" w:after="170"/>
              <w:ind w:hanging="0" w:left="0" w:right="0"/>
              <w:jc w:val="right"/>
              <w:rPr/>
            </w:pPr>
            <w:r>
              <w:rPr/>
              <w:t>512 MB</w:t>
            </w:r>
          </w:p>
        </w:tc>
        <w:tc>
          <w:tcPr>
            <w:tcW w:w="721" w:type="dxa"/>
            <w:tcBorders/>
            <w:vAlign w:val="center"/>
          </w:tcPr>
          <w:p>
            <w:pPr>
              <w:pStyle w:val="TableContents"/>
              <w:bidi w:val="0"/>
              <w:spacing w:before="0" w:after="170"/>
              <w:ind w:hanging="0" w:left="0" w:right="0"/>
              <w:jc w:val="right"/>
              <w:rPr/>
            </w:pPr>
            <w:r>
              <w:rPr/>
              <w:t>2</w:t>
            </w:r>
          </w:p>
        </w:tc>
        <w:tc>
          <w:tcPr>
            <w:tcW w:w="1531" w:type="dxa"/>
            <w:tcBorders/>
            <w:vAlign w:val="center"/>
          </w:tcPr>
          <w:p>
            <w:pPr>
              <w:pStyle w:val="TableContents"/>
              <w:bidi w:val="0"/>
              <w:spacing w:before="0" w:after="170"/>
              <w:ind w:hanging="0" w:left="0" w:right="0"/>
              <w:jc w:val="right"/>
              <w:rPr/>
            </w:pPr>
            <w:r>
              <w:rPr/>
              <w:t>20 GB</w:t>
            </w:r>
          </w:p>
        </w:tc>
        <w:tc>
          <w:tcPr>
            <w:tcW w:w="2056" w:type="dxa"/>
            <w:tcBorders/>
            <w:vAlign w:val="center"/>
          </w:tcPr>
          <w:p>
            <w:pPr>
              <w:pStyle w:val="TableContents"/>
              <w:bidi w:val="0"/>
              <w:spacing w:before="0" w:after="170"/>
              <w:ind w:hanging="0" w:left="0" w:right="0"/>
              <w:jc w:val="right"/>
              <w:rPr/>
            </w:pPr>
            <w:r>
              <w:rPr/>
              <w:t>1 TB</w:t>
            </w:r>
          </w:p>
        </w:tc>
        <w:tc>
          <w:tcPr>
            <w:tcW w:w="1771" w:type="dxa"/>
            <w:tcBorders/>
            <w:vAlign w:val="center"/>
          </w:tcPr>
          <w:p>
            <w:pPr>
              <w:pStyle w:val="TableContents"/>
              <w:bidi w:val="0"/>
              <w:spacing w:before="0" w:after="170"/>
              <w:ind w:hanging="0" w:left="0" w:right="0"/>
              <w:jc w:val="right"/>
              <w:rPr/>
            </w:pPr>
            <w:r>
              <w:rPr/>
              <w:t>$5</w:t>
            </w:r>
          </w:p>
        </w:tc>
        <w:tc>
          <w:tcPr>
            <w:tcW w:w="2251" w:type="dxa"/>
            <w:tcBorders/>
            <w:vAlign w:val="center"/>
          </w:tcPr>
          <w:p>
            <w:pPr>
              <w:pStyle w:val="TableContents"/>
              <w:bidi w:val="0"/>
              <w:spacing w:before="0" w:after="170"/>
              <w:jc w:val="right"/>
              <w:rPr/>
            </w:pPr>
            <w:r>
              <w:rPr/>
              <w:t>$9.50</w:t>
            </w:r>
          </w:p>
        </w:tc>
      </w:tr>
      <w:tr>
        <w:trPr/>
        <w:tc>
          <w:tcPr>
            <w:tcW w:w="991" w:type="dxa"/>
            <w:tcBorders/>
            <w:vAlign w:val="center"/>
          </w:tcPr>
          <w:p>
            <w:pPr>
              <w:pStyle w:val="TableContents"/>
              <w:bidi w:val="0"/>
              <w:spacing w:before="0" w:after="170"/>
              <w:ind w:hanging="0" w:left="0" w:right="0"/>
              <w:rPr/>
            </w:pPr>
            <w:r>
              <w:rPr/>
              <w:t>Micro</w:t>
            </w:r>
          </w:p>
        </w:tc>
        <w:tc>
          <w:tcPr>
            <w:tcW w:w="1051" w:type="dxa"/>
            <w:tcBorders/>
            <w:vAlign w:val="center"/>
          </w:tcPr>
          <w:p>
            <w:pPr>
              <w:pStyle w:val="TableContents"/>
              <w:bidi w:val="0"/>
              <w:spacing w:before="0" w:after="170"/>
              <w:ind w:hanging="0" w:left="0" w:right="0"/>
              <w:jc w:val="right"/>
              <w:rPr/>
            </w:pPr>
            <w:r>
              <w:rPr/>
              <w:t>1 GB</w:t>
            </w:r>
          </w:p>
        </w:tc>
        <w:tc>
          <w:tcPr>
            <w:tcW w:w="721" w:type="dxa"/>
            <w:tcBorders/>
            <w:vAlign w:val="center"/>
          </w:tcPr>
          <w:p>
            <w:pPr>
              <w:pStyle w:val="TableContents"/>
              <w:bidi w:val="0"/>
              <w:spacing w:before="0" w:after="170"/>
              <w:ind w:hanging="0" w:left="0" w:right="0"/>
              <w:jc w:val="right"/>
              <w:rPr/>
            </w:pPr>
            <w:r>
              <w:rPr/>
              <w:t>2</w:t>
            </w:r>
          </w:p>
        </w:tc>
        <w:tc>
          <w:tcPr>
            <w:tcW w:w="1531" w:type="dxa"/>
            <w:tcBorders/>
            <w:vAlign w:val="center"/>
          </w:tcPr>
          <w:p>
            <w:pPr>
              <w:pStyle w:val="TableContents"/>
              <w:bidi w:val="0"/>
              <w:spacing w:before="0" w:after="170"/>
              <w:ind w:hanging="0" w:left="0" w:right="0"/>
              <w:jc w:val="right"/>
              <w:rPr/>
            </w:pPr>
            <w:r>
              <w:rPr/>
              <w:t>40 GB</w:t>
            </w:r>
          </w:p>
        </w:tc>
        <w:tc>
          <w:tcPr>
            <w:tcW w:w="2056" w:type="dxa"/>
            <w:tcBorders/>
            <w:vAlign w:val="center"/>
          </w:tcPr>
          <w:p>
            <w:pPr>
              <w:pStyle w:val="TableContents"/>
              <w:bidi w:val="0"/>
              <w:spacing w:before="0" w:after="170"/>
              <w:ind w:hanging="0" w:left="0" w:right="0"/>
              <w:jc w:val="right"/>
              <w:rPr/>
            </w:pPr>
            <w:r>
              <w:rPr/>
              <w:t>2 TB</w:t>
            </w:r>
          </w:p>
        </w:tc>
        <w:tc>
          <w:tcPr>
            <w:tcW w:w="1771" w:type="dxa"/>
            <w:tcBorders/>
            <w:vAlign w:val="center"/>
          </w:tcPr>
          <w:p>
            <w:pPr>
              <w:pStyle w:val="TableContents"/>
              <w:bidi w:val="0"/>
              <w:spacing w:before="0" w:after="170"/>
              <w:ind w:hanging="0" w:left="0" w:right="0"/>
              <w:jc w:val="right"/>
              <w:rPr/>
            </w:pPr>
            <w:r>
              <w:rPr/>
              <w:t>$7</w:t>
            </w:r>
          </w:p>
        </w:tc>
        <w:tc>
          <w:tcPr>
            <w:tcW w:w="2251" w:type="dxa"/>
            <w:tcBorders/>
            <w:vAlign w:val="center"/>
          </w:tcPr>
          <w:p>
            <w:pPr>
              <w:pStyle w:val="TableContents"/>
              <w:bidi w:val="0"/>
              <w:spacing w:before="0" w:after="170"/>
              <w:jc w:val="right"/>
              <w:rPr/>
            </w:pPr>
            <w:r>
              <w:rPr/>
              <w:t>$14</w:t>
            </w:r>
          </w:p>
        </w:tc>
      </w:tr>
      <w:tr>
        <w:trPr/>
        <w:tc>
          <w:tcPr>
            <w:tcW w:w="991" w:type="dxa"/>
            <w:tcBorders/>
            <w:vAlign w:val="center"/>
          </w:tcPr>
          <w:p>
            <w:pPr>
              <w:pStyle w:val="TableContents"/>
              <w:bidi w:val="0"/>
              <w:spacing w:before="0" w:after="170"/>
              <w:ind w:hanging="0" w:left="0" w:right="0"/>
              <w:rPr/>
            </w:pPr>
            <w:r>
              <w:rPr/>
              <w:t>Small</w:t>
            </w:r>
          </w:p>
        </w:tc>
        <w:tc>
          <w:tcPr>
            <w:tcW w:w="1051" w:type="dxa"/>
            <w:tcBorders/>
            <w:vAlign w:val="center"/>
          </w:tcPr>
          <w:p>
            <w:pPr>
              <w:pStyle w:val="TableContents"/>
              <w:bidi w:val="0"/>
              <w:spacing w:before="0" w:after="170"/>
              <w:ind w:hanging="0" w:left="0" w:right="0"/>
              <w:jc w:val="right"/>
              <w:rPr/>
            </w:pPr>
            <w:r>
              <w:rPr/>
              <w:t>2 GB</w:t>
            </w:r>
          </w:p>
        </w:tc>
        <w:tc>
          <w:tcPr>
            <w:tcW w:w="721" w:type="dxa"/>
            <w:tcBorders/>
            <w:vAlign w:val="center"/>
          </w:tcPr>
          <w:p>
            <w:pPr>
              <w:pStyle w:val="TableContents"/>
              <w:bidi w:val="0"/>
              <w:spacing w:before="0" w:after="170"/>
              <w:ind w:hanging="0" w:left="0" w:right="0"/>
              <w:jc w:val="right"/>
              <w:rPr/>
            </w:pPr>
            <w:r>
              <w:rPr/>
              <w:t>2</w:t>
            </w:r>
          </w:p>
        </w:tc>
        <w:tc>
          <w:tcPr>
            <w:tcW w:w="1531" w:type="dxa"/>
            <w:tcBorders/>
            <w:vAlign w:val="center"/>
          </w:tcPr>
          <w:p>
            <w:pPr>
              <w:pStyle w:val="TableContents"/>
              <w:bidi w:val="0"/>
              <w:spacing w:before="0" w:after="170"/>
              <w:ind w:hanging="0" w:left="0" w:right="0"/>
              <w:jc w:val="right"/>
              <w:rPr/>
            </w:pPr>
            <w:r>
              <w:rPr/>
              <w:t>60 GB</w:t>
            </w:r>
          </w:p>
        </w:tc>
        <w:tc>
          <w:tcPr>
            <w:tcW w:w="2056" w:type="dxa"/>
            <w:tcBorders/>
            <w:vAlign w:val="center"/>
          </w:tcPr>
          <w:p>
            <w:pPr>
              <w:pStyle w:val="TableContents"/>
              <w:bidi w:val="0"/>
              <w:spacing w:before="0" w:after="170"/>
              <w:ind w:hanging="0" w:left="0" w:right="0"/>
              <w:jc w:val="right"/>
              <w:rPr/>
            </w:pPr>
            <w:r>
              <w:rPr/>
              <w:t>3 TB</w:t>
            </w:r>
          </w:p>
        </w:tc>
        <w:tc>
          <w:tcPr>
            <w:tcW w:w="1771" w:type="dxa"/>
            <w:tcBorders/>
            <w:vAlign w:val="center"/>
          </w:tcPr>
          <w:p>
            <w:pPr>
              <w:pStyle w:val="TableContents"/>
              <w:bidi w:val="0"/>
              <w:spacing w:before="0" w:after="170"/>
              <w:ind w:hanging="0" w:left="0" w:right="0"/>
              <w:jc w:val="right"/>
              <w:rPr/>
            </w:pPr>
            <w:r>
              <w:rPr/>
              <w:t>$12</w:t>
            </w:r>
          </w:p>
        </w:tc>
        <w:tc>
          <w:tcPr>
            <w:tcW w:w="2251" w:type="dxa"/>
            <w:tcBorders/>
            <w:vAlign w:val="center"/>
          </w:tcPr>
          <w:p>
            <w:pPr>
              <w:pStyle w:val="TableContents"/>
              <w:bidi w:val="0"/>
              <w:spacing w:before="0" w:after="170"/>
              <w:jc w:val="right"/>
              <w:rPr/>
            </w:pPr>
            <w:r>
              <w:rPr/>
              <w:t>$22</w:t>
            </w:r>
          </w:p>
        </w:tc>
      </w:tr>
      <w:tr>
        <w:trPr/>
        <w:tc>
          <w:tcPr>
            <w:tcW w:w="991" w:type="dxa"/>
            <w:tcBorders/>
            <w:vAlign w:val="center"/>
          </w:tcPr>
          <w:p>
            <w:pPr>
              <w:pStyle w:val="TableContents"/>
              <w:bidi w:val="0"/>
              <w:spacing w:before="0" w:after="170"/>
              <w:ind w:hanging="0" w:left="0" w:right="0"/>
              <w:rPr/>
            </w:pPr>
            <w:r>
              <w:rPr/>
              <w:t>Medium</w:t>
            </w:r>
          </w:p>
        </w:tc>
        <w:tc>
          <w:tcPr>
            <w:tcW w:w="1051" w:type="dxa"/>
            <w:tcBorders/>
            <w:vAlign w:val="center"/>
          </w:tcPr>
          <w:p>
            <w:pPr>
              <w:pStyle w:val="TableContents"/>
              <w:bidi w:val="0"/>
              <w:spacing w:before="0" w:after="170"/>
              <w:ind w:hanging="0" w:left="0" w:right="0"/>
              <w:jc w:val="right"/>
              <w:rPr/>
            </w:pPr>
            <w:r>
              <w:rPr/>
              <w:t>4 GB</w:t>
            </w:r>
          </w:p>
        </w:tc>
        <w:tc>
          <w:tcPr>
            <w:tcW w:w="721" w:type="dxa"/>
            <w:tcBorders/>
            <w:vAlign w:val="center"/>
          </w:tcPr>
          <w:p>
            <w:pPr>
              <w:pStyle w:val="TableContents"/>
              <w:bidi w:val="0"/>
              <w:spacing w:before="0" w:after="170"/>
              <w:ind w:hanging="0" w:left="0" w:right="0"/>
              <w:jc w:val="right"/>
              <w:rPr/>
            </w:pPr>
            <w:r>
              <w:rPr/>
              <w:t>2</w:t>
            </w:r>
          </w:p>
        </w:tc>
        <w:tc>
          <w:tcPr>
            <w:tcW w:w="1531" w:type="dxa"/>
            <w:tcBorders/>
            <w:vAlign w:val="center"/>
          </w:tcPr>
          <w:p>
            <w:pPr>
              <w:pStyle w:val="TableContents"/>
              <w:bidi w:val="0"/>
              <w:spacing w:before="0" w:after="170"/>
              <w:ind w:hanging="0" w:left="0" w:right="0"/>
              <w:jc w:val="right"/>
              <w:rPr/>
            </w:pPr>
            <w:r>
              <w:rPr/>
              <w:t>80 GB</w:t>
            </w:r>
          </w:p>
        </w:tc>
        <w:tc>
          <w:tcPr>
            <w:tcW w:w="2056" w:type="dxa"/>
            <w:tcBorders/>
            <w:vAlign w:val="center"/>
          </w:tcPr>
          <w:p>
            <w:pPr>
              <w:pStyle w:val="TableContents"/>
              <w:bidi w:val="0"/>
              <w:spacing w:before="0" w:after="170"/>
              <w:ind w:hanging="0" w:left="0" w:right="0"/>
              <w:jc w:val="right"/>
              <w:rPr/>
            </w:pPr>
            <w:r>
              <w:rPr/>
              <w:t>4 TB</w:t>
            </w:r>
          </w:p>
        </w:tc>
        <w:tc>
          <w:tcPr>
            <w:tcW w:w="1771" w:type="dxa"/>
            <w:tcBorders/>
            <w:vAlign w:val="center"/>
          </w:tcPr>
          <w:p>
            <w:pPr>
              <w:pStyle w:val="TableContents"/>
              <w:bidi w:val="0"/>
              <w:spacing w:before="0" w:after="170"/>
              <w:ind w:hanging="0" w:left="0" w:right="0"/>
              <w:jc w:val="right"/>
              <w:rPr/>
            </w:pPr>
            <w:r>
              <w:rPr/>
              <w:t>$24</w:t>
            </w:r>
          </w:p>
        </w:tc>
        <w:tc>
          <w:tcPr>
            <w:tcW w:w="2251" w:type="dxa"/>
            <w:tcBorders/>
            <w:vAlign w:val="center"/>
          </w:tcPr>
          <w:p>
            <w:pPr>
              <w:pStyle w:val="TableContents"/>
              <w:bidi w:val="0"/>
              <w:spacing w:before="0" w:after="170"/>
              <w:jc w:val="right"/>
              <w:rPr/>
            </w:pPr>
            <w:r>
              <w:rPr/>
              <w:t>—</w:t>
            </w:r>
          </w:p>
        </w:tc>
      </w:tr>
      <w:tr>
        <w:trPr/>
        <w:tc>
          <w:tcPr>
            <w:tcW w:w="991" w:type="dxa"/>
            <w:tcBorders/>
            <w:vAlign w:val="center"/>
          </w:tcPr>
          <w:p>
            <w:pPr>
              <w:pStyle w:val="TableContents"/>
              <w:bidi w:val="0"/>
              <w:spacing w:before="0" w:after="170"/>
              <w:ind w:hanging="0" w:left="0" w:right="0"/>
              <w:rPr/>
            </w:pPr>
            <w:r>
              <w:rPr/>
              <w:t>Large</w:t>
            </w:r>
          </w:p>
        </w:tc>
        <w:tc>
          <w:tcPr>
            <w:tcW w:w="1051" w:type="dxa"/>
            <w:tcBorders/>
            <w:vAlign w:val="center"/>
          </w:tcPr>
          <w:p>
            <w:pPr>
              <w:pStyle w:val="TableContents"/>
              <w:bidi w:val="0"/>
              <w:spacing w:before="0" w:after="170"/>
              <w:ind w:hanging="0" w:left="0" w:right="0"/>
              <w:jc w:val="right"/>
              <w:rPr/>
            </w:pPr>
            <w:r>
              <w:rPr/>
              <w:t>8 GB</w:t>
            </w:r>
          </w:p>
        </w:tc>
        <w:tc>
          <w:tcPr>
            <w:tcW w:w="721" w:type="dxa"/>
            <w:tcBorders/>
            <w:vAlign w:val="center"/>
          </w:tcPr>
          <w:p>
            <w:pPr>
              <w:pStyle w:val="TableContents"/>
              <w:bidi w:val="0"/>
              <w:spacing w:before="0" w:after="170"/>
              <w:ind w:hanging="0" w:left="0" w:right="0"/>
              <w:jc w:val="right"/>
              <w:rPr/>
            </w:pPr>
            <w:r>
              <w:rPr/>
              <w:t>2</w:t>
            </w:r>
          </w:p>
        </w:tc>
        <w:tc>
          <w:tcPr>
            <w:tcW w:w="1531" w:type="dxa"/>
            <w:tcBorders/>
            <w:vAlign w:val="center"/>
          </w:tcPr>
          <w:p>
            <w:pPr>
              <w:pStyle w:val="TableContents"/>
              <w:bidi w:val="0"/>
              <w:spacing w:before="0" w:after="170"/>
              <w:ind w:hanging="0" w:left="0" w:right="0"/>
              <w:jc w:val="right"/>
              <w:rPr/>
            </w:pPr>
            <w:r>
              <w:rPr/>
              <w:t>160 GB</w:t>
            </w:r>
          </w:p>
        </w:tc>
        <w:tc>
          <w:tcPr>
            <w:tcW w:w="2056" w:type="dxa"/>
            <w:tcBorders/>
            <w:vAlign w:val="center"/>
          </w:tcPr>
          <w:p>
            <w:pPr>
              <w:pStyle w:val="TableContents"/>
              <w:bidi w:val="0"/>
              <w:spacing w:before="0" w:after="170"/>
              <w:ind w:hanging="0" w:left="0" w:right="0"/>
              <w:jc w:val="right"/>
              <w:rPr/>
            </w:pPr>
            <w:r>
              <w:rPr/>
              <w:t>5 TB</w:t>
            </w:r>
          </w:p>
        </w:tc>
        <w:tc>
          <w:tcPr>
            <w:tcW w:w="1771" w:type="dxa"/>
            <w:tcBorders/>
            <w:vAlign w:val="center"/>
          </w:tcPr>
          <w:p>
            <w:pPr>
              <w:pStyle w:val="TableContents"/>
              <w:bidi w:val="0"/>
              <w:spacing w:before="0" w:after="170"/>
              <w:ind w:hanging="0" w:left="0" w:right="0"/>
              <w:jc w:val="right"/>
              <w:rPr/>
            </w:pPr>
            <w:r>
              <w:rPr/>
              <w:t>$44</w:t>
            </w:r>
          </w:p>
        </w:tc>
        <w:tc>
          <w:tcPr>
            <w:tcW w:w="2251" w:type="dxa"/>
            <w:tcBorders/>
            <w:vAlign w:val="center"/>
          </w:tcPr>
          <w:p>
            <w:pPr>
              <w:pStyle w:val="TableContents"/>
              <w:bidi w:val="0"/>
              <w:spacing w:before="0" w:after="170"/>
              <w:jc w:val="right"/>
              <w:rPr/>
            </w:pPr>
            <w:r>
              <w:rPr/>
              <w:t>—</w:t>
            </w:r>
          </w:p>
        </w:tc>
      </w:tr>
      <w:tr>
        <w:trPr/>
        <w:tc>
          <w:tcPr>
            <w:tcW w:w="991" w:type="dxa"/>
            <w:tcBorders/>
            <w:vAlign w:val="center"/>
          </w:tcPr>
          <w:p>
            <w:pPr>
              <w:pStyle w:val="TableContents"/>
              <w:bidi w:val="0"/>
              <w:spacing w:before="0" w:after="170"/>
              <w:ind w:hanging="0" w:left="0" w:right="0"/>
              <w:rPr/>
            </w:pPr>
            <w:r>
              <w:rPr/>
              <w:t>XLarge</w:t>
            </w:r>
          </w:p>
        </w:tc>
        <w:tc>
          <w:tcPr>
            <w:tcW w:w="1051" w:type="dxa"/>
            <w:tcBorders/>
            <w:vAlign w:val="center"/>
          </w:tcPr>
          <w:p>
            <w:pPr>
              <w:pStyle w:val="TableContents"/>
              <w:bidi w:val="0"/>
              <w:spacing w:before="0" w:after="170"/>
              <w:ind w:hanging="0" w:left="0" w:right="0"/>
              <w:jc w:val="right"/>
              <w:rPr/>
            </w:pPr>
            <w:r>
              <w:rPr/>
              <w:t>16 GB</w:t>
            </w:r>
          </w:p>
        </w:tc>
        <w:tc>
          <w:tcPr>
            <w:tcW w:w="721" w:type="dxa"/>
            <w:tcBorders/>
            <w:vAlign w:val="center"/>
          </w:tcPr>
          <w:p>
            <w:pPr>
              <w:pStyle w:val="TableContents"/>
              <w:bidi w:val="0"/>
              <w:spacing w:before="0" w:after="170"/>
              <w:ind w:hanging="0" w:left="0" w:right="0"/>
              <w:jc w:val="right"/>
              <w:rPr/>
            </w:pPr>
            <w:r>
              <w:rPr/>
              <w:t>4</w:t>
            </w:r>
          </w:p>
        </w:tc>
        <w:tc>
          <w:tcPr>
            <w:tcW w:w="1531" w:type="dxa"/>
            <w:tcBorders/>
            <w:vAlign w:val="center"/>
          </w:tcPr>
          <w:p>
            <w:pPr>
              <w:pStyle w:val="TableContents"/>
              <w:bidi w:val="0"/>
              <w:spacing w:before="0" w:after="170"/>
              <w:ind w:hanging="0" w:left="0" w:right="0"/>
              <w:jc w:val="right"/>
              <w:rPr/>
            </w:pPr>
            <w:r>
              <w:rPr/>
              <w:t>320 GB</w:t>
            </w:r>
          </w:p>
        </w:tc>
        <w:tc>
          <w:tcPr>
            <w:tcW w:w="2056" w:type="dxa"/>
            <w:tcBorders/>
            <w:vAlign w:val="center"/>
          </w:tcPr>
          <w:p>
            <w:pPr>
              <w:pStyle w:val="TableContents"/>
              <w:bidi w:val="0"/>
              <w:spacing w:before="0" w:after="170"/>
              <w:ind w:hanging="0" w:left="0" w:right="0"/>
              <w:jc w:val="right"/>
              <w:rPr/>
            </w:pPr>
            <w:r>
              <w:rPr/>
              <w:t>6 TB</w:t>
            </w:r>
          </w:p>
        </w:tc>
        <w:tc>
          <w:tcPr>
            <w:tcW w:w="1771" w:type="dxa"/>
            <w:tcBorders/>
            <w:vAlign w:val="center"/>
          </w:tcPr>
          <w:p>
            <w:pPr>
              <w:pStyle w:val="TableContents"/>
              <w:bidi w:val="0"/>
              <w:spacing w:before="0" w:after="170"/>
              <w:ind w:hanging="0" w:left="0" w:right="0"/>
              <w:jc w:val="right"/>
              <w:rPr/>
            </w:pPr>
            <w:r>
              <w:rPr/>
              <w:t>$84</w:t>
            </w:r>
          </w:p>
        </w:tc>
        <w:tc>
          <w:tcPr>
            <w:tcW w:w="2251" w:type="dxa"/>
            <w:tcBorders/>
            <w:vAlign w:val="center"/>
          </w:tcPr>
          <w:p>
            <w:pPr>
              <w:pStyle w:val="TableContents"/>
              <w:bidi w:val="0"/>
              <w:spacing w:before="0" w:after="170"/>
              <w:jc w:val="right"/>
              <w:rPr/>
            </w:pPr>
            <w:r>
              <w:rPr/>
              <w:t>—</w:t>
            </w:r>
          </w:p>
        </w:tc>
      </w:tr>
      <w:tr>
        <w:trPr/>
        <w:tc>
          <w:tcPr>
            <w:tcW w:w="991" w:type="dxa"/>
            <w:tcBorders/>
            <w:vAlign w:val="center"/>
          </w:tcPr>
          <w:p>
            <w:pPr>
              <w:pStyle w:val="TableContents"/>
              <w:bidi w:val="0"/>
              <w:spacing w:before="0" w:after="170"/>
              <w:ind w:hanging="0" w:left="0" w:right="0"/>
              <w:rPr/>
            </w:pPr>
            <w:r>
              <w:rPr/>
              <w:t>2XLarge</w:t>
            </w:r>
          </w:p>
        </w:tc>
        <w:tc>
          <w:tcPr>
            <w:tcW w:w="1051" w:type="dxa"/>
            <w:tcBorders/>
            <w:vAlign w:val="center"/>
          </w:tcPr>
          <w:p>
            <w:pPr>
              <w:pStyle w:val="TableContents"/>
              <w:bidi w:val="0"/>
              <w:spacing w:before="0" w:after="170"/>
              <w:ind w:hanging="0" w:left="0" w:right="0"/>
              <w:jc w:val="right"/>
              <w:rPr/>
            </w:pPr>
            <w:r>
              <w:rPr/>
              <w:t>32 GB</w:t>
            </w:r>
          </w:p>
        </w:tc>
        <w:tc>
          <w:tcPr>
            <w:tcW w:w="721" w:type="dxa"/>
            <w:tcBorders/>
            <w:vAlign w:val="center"/>
          </w:tcPr>
          <w:p>
            <w:pPr>
              <w:pStyle w:val="TableContents"/>
              <w:bidi w:val="0"/>
              <w:spacing w:before="0" w:after="170"/>
              <w:ind w:hanging="0" w:left="0" w:right="0"/>
              <w:jc w:val="right"/>
              <w:rPr/>
            </w:pPr>
            <w:r>
              <w:rPr/>
              <w:t>8</w:t>
            </w:r>
          </w:p>
        </w:tc>
        <w:tc>
          <w:tcPr>
            <w:tcW w:w="1531" w:type="dxa"/>
            <w:tcBorders/>
            <w:vAlign w:val="center"/>
          </w:tcPr>
          <w:p>
            <w:pPr>
              <w:pStyle w:val="TableContents"/>
              <w:bidi w:val="0"/>
              <w:spacing w:before="0" w:after="170"/>
              <w:ind w:hanging="0" w:left="0" w:right="0"/>
              <w:jc w:val="right"/>
              <w:rPr/>
            </w:pPr>
            <w:r>
              <w:rPr/>
              <w:t>640 GB</w:t>
            </w:r>
          </w:p>
        </w:tc>
        <w:tc>
          <w:tcPr>
            <w:tcW w:w="2056" w:type="dxa"/>
            <w:tcBorders/>
            <w:vAlign w:val="center"/>
          </w:tcPr>
          <w:p>
            <w:pPr>
              <w:pStyle w:val="TableContents"/>
              <w:bidi w:val="0"/>
              <w:spacing w:before="0" w:after="170"/>
              <w:ind w:hanging="0" w:left="0" w:right="0"/>
              <w:jc w:val="right"/>
              <w:rPr/>
            </w:pPr>
            <w:r>
              <w:rPr/>
              <w:t>7 TB</w:t>
            </w:r>
          </w:p>
        </w:tc>
        <w:tc>
          <w:tcPr>
            <w:tcW w:w="1771" w:type="dxa"/>
            <w:tcBorders/>
            <w:vAlign w:val="center"/>
          </w:tcPr>
          <w:p>
            <w:pPr>
              <w:pStyle w:val="TableContents"/>
              <w:bidi w:val="0"/>
              <w:spacing w:before="0" w:after="170"/>
              <w:ind w:hanging="0" w:left="0" w:right="0"/>
              <w:jc w:val="right"/>
              <w:rPr/>
            </w:pPr>
            <w:r>
              <w:rPr/>
              <w:t>$164</w:t>
            </w:r>
          </w:p>
        </w:tc>
        <w:tc>
          <w:tcPr>
            <w:tcW w:w="2251" w:type="dxa"/>
            <w:tcBorders/>
            <w:vAlign w:val="center"/>
          </w:tcPr>
          <w:p>
            <w:pPr>
              <w:pStyle w:val="TableContents"/>
              <w:bidi w:val="0"/>
              <w:spacing w:before="0" w:after="170"/>
              <w:jc w:val="right"/>
              <w:rPr/>
            </w:pPr>
            <w:r>
              <w:rPr/>
              <w:t>—</w:t>
            </w:r>
          </w:p>
        </w:tc>
      </w:tr>
      <w:tr>
        <w:trPr/>
        <w:tc>
          <w:tcPr>
            <w:tcW w:w="991" w:type="dxa"/>
            <w:tcBorders/>
            <w:vAlign w:val="center"/>
          </w:tcPr>
          <w:p>
            <w:pPr>
              <w:pStyle w:val="TableContents"/>
              <w:bidi w:val="0"/>
              <w:spacing w:before="0" w:after="170"/>
              <w:ind w:hanging="0" w:left="0" w:right="0"/>
              <w:rPr/>
            </w:pPr>
            <w:r>
              <w:rPr/>
              <w:t>4XLarge</w:t>
            </w:r>
          </w:p>
        </w:tc>
        <w:tc>
          <w:tcPr>
            <w:tcW w:w="1051" w:type="dxa"/>
            <w:tcBorders/>
            <w:vAlign w:val="center"/>
          </w:tcPr>
          <w:p>
            <w:pPr>
              <w:pStyle w:val="TableContents"/>
              <w:bidi w:val="0"/>
              <w:spacing w:before="0" w:after="170"/>
              <w:ind w:hanging="0" w:left="0" w:right="0"/>
              <w:jc w:val="right"/>
              <w:rPr/>
            </w:pPr>
            <w:r>
              <w:rPr/>
              <w:t>64 GB</w:t>
            </w:r>
          </w:p>
        </w:tc>
        <w:tc>
          <w:tcPr>
            <w:tcW w:w="721" w:type="dxa"/>
            <w:tcBorders/>
            <w:vAlign w:val="center"/>
          </w:tcPr>
          <w:p>
            <w:pPr>
              <w:pStyle w:val="TableContents"/>
              <w:bidi w:val="0"/>
              <w:spacing w:before="0" w:after="170"/>
              <w:ind w:hanging="0" w:left="0" w:right="0"/>
              <w:jc w:val="right"/>
              <w:rPr/>
            </w:pPr>
            <w:r>
              <w:rPr/>
              <w:t>16</w:t>
            </w:r>
          </w:p>
        </w:tc>
        <w:tc>
          <w:tcPr>
            <w:tcW w:w="1531" w:type="dxa"/>
            <w:tcBorders/>
            <w:vAlign w:val="center"/>
          </w:tcPr>
          <w:p>
            <w:pPr>
              <w:pStyle w:val="TableContents"/>
              <w:bidi w:val="0"/>
              <w:spacing w:before="0" w:after="170"/>
              <w:ind w:hanging="0" w:left="0" w:right="0"/>
              <w:jc w:val="right"/>
              <w:rPr/>
            </w:pPr>
            <w:r>
              <w:rPr/>
              <w:t>1,280 GB</w:t>
            </w:r>
          </w:p>
        </w:tc>
        <w:tc>
          <w:tcPr>
            <w:tcW w:w="2056" w:type="dxa"/>
            <w:tcBorders/>
            <w:vAlign w:val="center"/>
          </w:tcPr>
          <w:p>
            <w:pPr>
              <w:pStyle w:val="TableContents"/>
              <w:bidi w:val="0"/>
              <w:spacing w:before="0" w:after="170"/>
              <w:ind w:hanging="0" w:left="0" w:right="0"/>
              <w:jc w:val="right"/>
              <w:rPr/>
            </w:pPr>
            <w:r>
              <w:rPr/>
              <w:t>8 TB</w:t>
            </w:r>
          </w:p>
        </w:tc>
        <w:tc>
          <w:tcPr>
            <w:tcW w:w="1771" w:type="dxa"/>
            <w:tcBorders/>
            <w:vAlign w:val="center"/>
          </w:tcPr>
          <w:p>
            <w:pPr>
              <w:pStyle w:val="TableContents"/>
              <w:bidi w:val="0"/>
              <w:spacing w:before="0" w:after="170"/>
              <w:ind w:hanging="0" w:left="0" w:right="0"/>
              <w:jc w:val="right"/>
              <w:rPr/>
            </w:pPr>
            <w:r>
              <w:rPr/>
              <w:t>$384</w:t>
            </w:r>
          </w:p>
        </w:tc>
        <w:tc>
          <w:tcPr>
            <w:tcW w:w="2251" w:type="dxa"/>
            <w:tcBorders/>
            <w:vAlign w:val="center"/>
          </w:tcPr>
          <w:p>
            <w:pPr>
              <w:pStyle w:val="TableContents"/>
              <w:bidi w:val="0"/>
              <w:spacing w:before="0" w:after="170"/>
              <w:jc w:val="right"/>
              <w:rPr/>
            </w:pPr>
            <w:r>
              <w:rPr/>
              <w:t>—</w:t>
            </w:r>
          </w:p>
        </w:tc>
      </w:tr>
    </w:tbl>
    <w:p>
      <w:pPr>
        <w:pStyle w:val="BodyText"/>
        <w:bidi w:val="0"/>
        <w:rPr/>
      </w:pPr>
      <w:r>
        <w:rPr/>
        <w:t>Three qualifications apply:</w:t>
      </w:r>
    </w:p>
    <w:p>
      <w:pPr>
        <w:pStyle w:val="BodyText"/>
        <w:numPr>
          <w:ilvl w:val="0"/>
          <w:numId w:val="8"/>
        </w:numPr>
        <w:tabs>
          <w:tab w:val="clear" w:pos="1134"/>
          <w:tab w:val="left" w:pos="709" w:leader="none"/>
        </w:tabs>
        <w:bidi w:val="0"/>
        <w:spacing w:before="0" w:after="0"/>
        <w:ind w:hanging="283" w:left="709"/>
        <w:rPr/>
      </w:pPr>
      <w:r>
        <w:rPr>
          <w:rStyle w:val="Strong"/>
        </w:rPr>
        <w:t>IPv6-only bundles cost roughly 30% less.</w:t>
      </w:r>
      <w:r>
        <w:rPr/>
        <w:t xml:space="preserve"> A public IPv4 address has become the premium component: the Linux nano tier falls from $5.00 to $3.50 when provisioned without one. This reflects the wider industry repricing of scarce IPv4 space. </w:t>
      </w:r>
    </w:p>
    <w:p>
      <w:pPr>
        <w:pStyle w:val="BodyText"/>
        <w:numPr>
          <w:ilvl w:val="0"/>
          <w:numId w:val="8"/>
        </w:numPr>
        <w:tabs>
          <w:tab w:val="clear" w:pos="1134"/>
          <w:tab w:val="left" w:pos="709" w:leader="none"/>
        </w:tabs>
        <w:bidi w:val="0"/>
        <w:spacing w:before="0" w:after="0"/>
        <w:ind w:hanging="283" w:left="709"/>
        <w:rPr/>
      </w:pPr>
      <w:r>
        <w:rPr>
          <w:rStyle w:val="Strong"/>
        </w:rPr>
        <w:t>Transfer beyond the allowance is metered per gigabyte.</w:t>
      </w:r>
      <w:r>
        <w:rPr/>
        <w:t xml:space="preserve"> Inbound traffic, and traffic to other AWS services within the same Region, do not count against the allowance. </w:t>
      </w:r>
    </w:p>
    <w:p>
      <w:pPr>
        <w:pStyle w:val="BodyText"/>
        <w:numPr>
          <w:ilvl w:val="0"/>
          <w:numId w:val="8"/>
        </w:numPr>
        <w:tabs>
          <w:tab w:val="clear" w:pos="1134"/>
          <w:tab w:val="left" w:pos="709" w:leader="none"/>
        </w:tabs>
        <w:bidi w:val="0"/>
        <w:ind w:hanging="283" w:left="709"/>
        <w:rPr/>
      </w:pPr>
      <w:r>
        <w:rPr>
          <w:rStyle w:val="Strong"/>
        </w:rPr>
        <w:t>Selected entry bundles carry a three-month introductory credit</w:t>
      </w:r>
      <w:r>
        <w:rPr/>
        <w:t xml:space="preserve"> for new accounts, on Linux/Unix IPv6 bundles at the $3.50, $5 and $10 tiers. </w:t>
      </w:r>
    </w:p>
    <w:p>
      <w:pPr>
        <w:pStyle w:val="Heading3"/>
        <w:bidi w:val="0"/>
        <w:ind w:hanging="0" w:left="0" w:right="0"/>
        <w:jc w:val="left"/>
        <w:rPr/>
      </w:pPr>
      <w:bookmarkStart w:id="28" w:name="62-other-resources"/>
      <w:bookmarkEnd w:id="28"/>
      <w:r>
        <w:rPr/>
        <w:t>6.2 Other Resources</w:t>
      </w:r>
    </w:p>
    <w:tbl>
      <w:tblPr>
        <w:tblW w:w="12049" w:type="dxa"/>
        <w:jc w:val="left"/>
        <w:tblInd w:w="0" w:type="dxa"/>
        <w:tblLayout w:type="fixed"/>
        <w:tblCellMar>
          <w:top w:w="28" w:type="dxa"/>
          <w:left w:w="28" w:type="dxa"/>
          <w:bottom w:w="28" w:type="dxa"/>
          <w:right w:w="28" w:type="dxa"/>
        </w:tblCellMar>
      </w:tblPr>
      <w:tblGrid>
        <w:gridCol w:w="2101"/>
        <w:gridCol w:w="3571"/>
        <w:gridCol w:w="2476"/>
        <w:gridCol w:w="3901"/>
      </w:tblGrid>
      <w:tr>
        <w:trPr>
          <w:tblHeader w:val="true"/>
        </w:trPr>
        <w:tc>
          <w:tcPr>
            <w:tcW w:w="2101" w:type="dxa"/>
            <w:tcBorders/>
            <w:vAlign w:val="center"/>
          </w:tcPr>
          <w:p>
            <w:pPr>
              <w:pStyle w:val="TableHeading"/>
              <w:suppressLineNumbers/>
              <w:shd w:fill="232F3E" w:val="clear"/>
              <w:bidi w:val="0"/>
              <w:spacing w:before="0" w:after="170"/>
              <w:jc w:val="left"/>
              <w:rPr/>
            </w:pPr>
            <w:r>
              <w:rPr/>
              <w:t>Resource</w:t>
            </w:r>
          </w:p>
        </w:tc>
        <w:tc>
          <w:tcPr>
            <w:tcW w:w="3571" w:type="dxa"/>
            <w:tcBorders/>
            <w:vAlign w:val="center"/>
          </w:tcPr>
          <w:p>
            <w:pPr>
              <w:pStyle w:val="TableHeading"/>
              <w:suppressLineNumbers/>
              <w:shd w:fill="232F3E" w:val="clear"/>
              <w:bidi w:val="0"/>
              <w:spacing w:before="0" w:after="170"/>
              <w:jc w:val="left"/>
              <w:rPr/>
            </w:pPr>
            <w:r>
              <w:rPr/>
              <w:t>Representative configuration</w:t>
            </w:r>
          </w:p>
        </w:tc>
        <w:tc>
          <w:tcPr>
            <w:tcW w:w="2476" w:type="dxa"/>
            <w:tcBorders/>
            <w:vAlign w:val="center"/>
          </w:tcPr>
          <w:p>
            <w:pPr>
              <w:pStyle w:val="TableHeading"/>
              <w:suppressLineNumbers/>
              <w:shd w:fill="232F3E" w:val="clear"/>
              <w:bidi w:val="0"/>
              <w:spacing w:before="0" w:after="170"/>
              <w:jc w:val="left"/>
              <w:rPr/>
            </w:pPr>
            <w:r>
              <w:rPr/>
              <w:t>Price</w:t>
            </w:r>
          </w:p>
        </w:tc>
        <w:tc>
          <w:tcPr>
            <w:tcW w:w="3901" w:type="dxa"/>
            <w:tcBorders/>
            <w:vAlign w:val="center"/>
          </w:tcPr>
          <w:p>
            <w:pPr>
              <w:pStyle w:val="TableHeading"/>
              <w:suppressLineNumbers/>
              <w:shd w:fill="232F3E" w:val="clear"/>
              <w:bidi w:val="0"/>
              <w:spacing w:before="0" w:after="170"/>
              <w:jc w:val="left"/>
              <w:rPr/>
            </w:pPr>
            <w:r>
              <w:rPr/>
              <w:t>Included</w:t>
            </w:r>
          </w:p>
        </w:tc>
      </w:tr>
      <w:tr>
        <w:trPr/>
        <w:tc>
          <w:tcPr>
            <w:tcW w:w="2101" w:type="dxa"/>
            <w:tcBorders/>
            <w:vAlign w:val="center"/>
          </w:tcPr>
          <w:p>
            <w:pPr>
              <w:pStyle w:val="TableContents"/>
              <w:bidi w:val="0"/>
              <w:spacing w:before="0" w:after="170"/>
              <w:rPr/>
            </w:pPr>
            <w:r>
              <w:rPr/>
              <w:t>Container service</w:t>
            </w:r>
          </w:p>
        </w:tc>
        <w:tc>
          <w:tcPr>
            <w:tcW w:w="3571" w:type="dxa"/>
            <w:tcBorders/>
            <w:vAlign w:val="center"/>
          </w:tcPr>
          <w:p>
            <w:pPr>
              <w:pStyle w:val="TableContents"/>
              <w:bidi w:val="0"/>
              <w:spacing w:before="0" w:after="170"/>
              <w:rPr/>
            </w:pPr>
            <w:r>
              <w:rPr/>
              <w:t>Nano node — 0.25 vCPU, 512 MB</w:t>
            </w:r>
          </w:p>
        </w:tc>
        <w:tc>
          <w:tcPr>
            <w:tcW w:w="2476" w:type="dxa"/>
            <w:tcBorders/>
            <w:vAlign w:val="center"/>
          </w:tcPr>
          <w:p>
            <w:pPr>
              <w:pStyle w:val="TableContents"/>
              <w:bidi w:val="0"/>
              <w:spacing w:before="0" w:after="170"/>
              <w:rPr/>
            </w:pPr>
            <w:r>
              <w:rPr/>
              <w:t>$7 / month per node</w:t>
            </w:r>
          </w:p>
        </w:tc>
        <w:tc>
          <w:tcPr>
            <w:tcW w:w="3901" w:type="dxa"/>
            <w:tcBorders/>
            <w:vAlign w:val="center"/>
          </w:tcPr>
          <w:p>
            <w:pPr>
              <w:pStyle w:val="TableContents"/>
              <w:bidi w:val="0"/>
              <w:spacing w:before="0" w:after="170"/>
              <w:rPr/>
            </w:pPr>
            <w:r>
              <w:rPr/>
              <w:t>500 GB transfer per service</w:t>
            </w:r>
          </w:p>
        </w:tc>
      </w:tr>
      <w:tr>
        <w:trPr/>
        <w:tc>
          <w:tcPr>
            <w:tcW w:w="2101" w:type="dxa"/>
            <w:tcBorders/>
            <w:vAlign w:val="center"/>
          </w:tcPr>
          <w:p>
            <w:pPr>
              <w:pStyle w:val="TableContents"/>
              <w:bidi w:val="0"/>
              <w:spacing w:before="0" w:after="170"/>
              <w:rPr/>
            </w:pPr>
            <w:r>
              <w:rPr/>
              <w:t>Container service</w:t>
            </w:r>
          </w:p>
        </w:tc>
        <w:tc>
          <w:tcPr>
            <w:tcW w:w="3571" w:type="dxa"/>
            <w:tcBorders/>
            <w:vAlign w:val="center"/>
          </w:tcPr>
          <w:p>
            <w:pPr>
              <w:pStyle w:val="TableContents"/>
              <w:bidi w:val="0"/>
              <w:spacing w:before="0" w:after="170"/>
              <w:rPr/>
            </w:pPr>
            <w:r>
              <w:rPr/>
              <w:t>XLarge node — 4 vCPU, 8 GB</w:t>
            </w:r>
          </w:p>
        </w:tc>
        <w:tc>
          <w:tcPr>
            <w:tcW w:w="2476" w:type="dxa"/>
            <w:tcBorders/>
            <w:vAlign w:val="center"/>
          </w:tcPr>
          <w:p>
            <w:pPr>
              <w:pStyle w:val="TableContents"/>
              <w:bidi w:val="0"/>
              <w:spacing w:before="0" w:after="170"/>
              <w:rPr/>
            </w:pPr>
            <w:r>
              <w:rPr/>
              <w:t>$160 / month per node</w:t>
            </w:r>
          </w:p>
        </w:tc>
        <w:tc>
          <w:tcPr>
            <w:tcW w:w="3901" w:type="dxa"/>
            <w:tcBorders/>
            <w:vAlign w:val="center"/>
          </w:tcPr>
          <w:p>
            <w:pPr>
              <w:pStyle w:val="TableContents"/>
              <w:bidi w:val="0"/>
              <w:spacing w:before="0" w:after="170"/>
              <w:rPr/>
            </w:pPr>
            <w:r>
              <w:rPr/>
              <w:t>Total = price × node count</w:t>
            </w:r>
          </w:p>
        </w:tc>
      </w:tr>
      <w:tr>
        <w:trPr/>
        <w:tc>
          <w:tcPr>
            <w:tcW w:w="2101" w:type="dxa"/>
            <w:tcBorders/>
            <w:vAlign w:val="center"/>
          </w:tcPr>
          <w:p>
            <w:pPr>
              <w:pStyle w:val="TableContents"/>
              <w:bidi w:val="0"/>
              <w:spacing w:before="0" w:after="170"/>
              <w:rPr/>
            </w:pPr>
            <w:r>
              <w:rPr/>
              <w:t>Managed database</w:t>
            </w:r>
          </w:p>
        </w:tc>
        <w:tc>
          <w:tcPr>
            <w:tcW w:w="3571" w:type="dxa"/>
            <w:tcBorders/>
            <w:vAlign w:val="center"/>
          </w:tcPr>
          <w:p>
            <w:pPr>
              <w:pStyle w:val="TableContents"/>
              <w:bidi w:val="0"/>
              <w:spacing w:before="0" w:after="170"/>
              <w:rPr/>
            </w:pPr>
            <w:r>
              <w:rPr/>
              <w:t>1 GB RAM, 40 GB SSD (standard)</w:t>
            </w:r>
          </w:p>
        </w:tc>
        <w:tc>
          <w:tcPr>
            <w:tcW w:w="2476" w:type="dxa"/>
            <w:tcBorders/>
            <w:vAlign w:val="center"/>
          </w:tcPr>
          <w:p>
            <w:pPr>
              <w:pStyle w:val="TableContents"/>
              <w:bidi w:val="0"/>
              <w:spacing w:before="0" w:after="170"/>
              <w:rPr/>
            </w:pPr>
            <w:r>
              <w:rPr/>
              <w:t>$15 / month</w:t>
            </w:r>
          </w:p>
        </w:tc>
        <w:tc>
          <w:tcPr>
            <w:tcW w:w="3901" w:type="dxa"/>
            <w:tcBorders/>
            <w:vAlign w:val="center"/>
          </w:tcPr>
          <w:p>
            <w:pPr>
              <w:pStyle w:val="TableContents"/>
              <w:bidi w:val="0"/>
              <w:spacing w:before="0" w:after="170"/>
              <w:rPr/>
            </w:pPr>
            <w:r>
              <w:rPr/>
              <w:t>HA plans cost double</w:t>
            </w:r>
          </w:p>
        </w:tc>
      </w:tr>
      <w:tr>
        <w:trPr/>
        <w:tc>
          <w:tcPr>
            <w:tcW w:w="2101" w:type="dxa"/>
            <w:tcBorders/>
            <w:vAlign w:val="center"/>
          </w:tcPr>
          <w:p>
            <w:pPr>
              <w:pStyle w:val="TableContents"/>
              <w:bidi w:val="0"/>
              <w:spacing w:before="0" w:after="170"/>
              <w:rPr/>
            </w:pPr>
            <w:r>
              <w:rPr/>
              <w:t>Object storage</w:t>
            </w:r>
          </w:p>
        </w:tc>
        <w:tc>
          <w:tcPr>
            <w:tcW w:w="3571" w:type="dxa"/>
            <w:tcBorders/>
            <w:vAlign w:val="center"/>
          </w:tcPr>
          <w:p>
            <w:pPr>
              <w:pStyle w:val="TableContents"/>
              <w:bidi w:val="0"/>
              <w:spacing w:before="0" w:after="170"/>
              <w:rPr/>
            </w:pPr>
            <w:r>
              <w:rPr/>
              <w:t>5 GB storage, 25 GB transfer</w:t>
            </w:r>
          </w:p>
        </w:tc>
        <w:tc>
          <w:tcPr>
            <w:tcW w:w="2476" w:type="dxa"/>
            <w:tcBorders/>
            <w:vAlign w:val="center"/>
          </w:tcPr>
          <w:p>
            <w:pPr>
              <w:pStyle w:val="TableContents"/>
              <w:bidi w:val="0"/>
              <w:spacing w:before="0" w:after="170"/>
              <w:rPr/>
            </w:pPr>
            <w:r>
              <w:rPr/>
              <w:t>$1 / month</w:t>
            </w:r>
          </w:p>
        </w:tc>
        <w:tc>
          <w:tcPr>
            <w:tcW w:w="3901" w:type="dxa"/>
            <w:tcBorders/>
            <w:vAlign w:val="center"/>
          </w:tcPr>
          <w:p>
            <w:pPr>
              <w:pStyle w:val="TableContents"/>
              <w:bidi w:val="0"/>
              <w:spacing w:before="0" w:after="170"/>
              <w:rPr/>
            </w:pPr>
            <w:r>
              <w:rPr/>
              <w:t>Free for the first 12 months</w:t>
            </w:r>
          </w:p>
        </w:tc>
      </w:tr>
      <w:tr>
        <w:trPr/>
        <w:tc>
          <w:tcPr>
            <w:tcW w:w="2101" w:type="dxa"/>
            <w:tcBorders/>
            <w:vAlign w:val="center"/>
          </w:tcPr>
          <w:p>
            <w:pPr>
              <w:pStyle w:val="TableContents"/>
              <w:bidi w:val="0"/>
              <w:spacing w:before="0" w:after="170"/>
              <w:rPr/>
            </w:pPr>
            <w:r>
              <w:rPr/>
              <w:t>Object storage</w:t>
            </w:r>
          </w:p>
        </w:tc>
        <w:tc>
          <w:tcPr>
            <w:tcW w:w="3571" w:type="dxa"/>
            <w:tcBorders/>
            <w:vAlign w:val="center"/>
          </w:tcPr>
          <w:p>
            <w:pPr>
              <w:pStyle w:val="TableContents"/>
              <w:bidi w:val="0"/>
              <w:spacing w:before="0" w:after="170"/>
              <w:rPr/>
            </w:pPr>
            <w:r>
              <w:rPr/>
              <w:t>100 GB storage, 250 GB transfer</w:t>
            </w:r>
          </w:p>
        </w:tc>
        <w:tc>
          <w:tcPr>
            <w:tcW w:w="2476" w:type="dxa"/>
            <w:tcBorders/>
            <w:vAlign w:val="center"/>
          </w:tcPr>
          <w:p>
            <w:pPr>
              <w:pStyle w:val="TableContents"/>
              <w:bidi w:val="0"/>
              <w:spacing w:before="0" w:after="170"/>
              <w:rPr/>
            </w:pPr>
            <w:r>
              <w:rPr/>
              <w:t>$3 / month</w:t>
            </w:r>
          </w:p>
        </w:tc>
        <w:tc>
          <w:tcPr>
            <w:tcW w:w="3901" w:type="dxa"/>
            <w:tcBorders/>
            <w:vAlign w:val="center"/>
          </w:tcPr>
          <w:p>
            <w:pPr>
              <w:pStyle w:val="TableContents"/>
              <w:bidi w:val="0"/>
              <w:spacing w:before="0" w:after="170"/>
              <w:rPr/>
            </w:pPr>
            <w:r>
              <w:rPr/>
              <w:t>—</w:t>
            </w:r>
          </w:p>
        </w:tc>
      </w:tr>
      <w:tr>
        <w:trPr/>
        <w:tc>
          <w:tcPr>
            <w:tcW w:w="2101" w:type="dxa"/>
            <w:tcBorders/>
            <w:vAlign w:val="center"/>
          </w:tcPr>
          <w:p>
            <w:pPr>
              <w:pStyle w:val="TableContents"/>
              <w:bidi w:val="0"/>
              <w:spacing w:before="0" w:after="170"/>
              <w:rPr/>
            </w:pPr>
            <w:r>
              <w:rPr/>
              <w:t>Object storage</w:t>
            </w:r>
          </w:p>
        </w:tc>
        <w:tc>
          <w:tcPr>
            <w:tcW w:w="3571" w:type="dxa"/>
            <w:tcBorders/>
            <w:vAlign w:val="center"/>
          </w:tcPr>
          <w:p>
            <w:pPr>
              <w:pStyle w:val="TableContents"/>
              <w:bidi w:val="0"/>
              <w:spacing w:before="0" w:after="170"/>
              <w:rPr/>
            </w:pPr>
            <w:r>
              <w:rPr/>
              <w:t>250 GB storage, 500 GB transfer</w:t>
            </w:r>
          </w:p>
        </w:tc>
        <w:tc>
          <w:tcPr>
            <w:tcW w:w="2476" w:type="dxa"/>
            <w:tcBorders/>
            <w:vAlign w:val="center"/>
          </w:tcPr>
          <w:p>
            <w:pPr>
              <w:pStyle w:val="TableContents"/>
              <w:bidi w:val="0"/>
              <w:spacing w:before="0" w:after="170"/>
              <w:rPr/>
            </w:pPr>
            <w:r>
              <w:rPr/>
              <w:t>$5 / month</w:t>
            </w:r>
          </w:p>
        </w:tc>
        <w:tc>
          <w:tcPr>
            <w:tcW w:w="3901" w:type="dxa"/>
            <w:tcBorders/>
            <w:vAlign w:val="center"/>
          </w:tcPr>
          <w:p>
            <w:pPr>
              <w:pStyle w:val="TableContents"/>
              <w:bidi w:val="0"/>
              <w:spacing w:before="0" w:after="170"/>
              <w:rPr/>
            </w:pPr>
            <w:r>
              <w:rPr/>
              <w:t>—</w:t>
            </w:r>
          </w:p>
        </w:tc>
      </w:tr>
      <w:tr>
        <w:trPr/>
        <w:tc>
          <w:tcPr>
            <w:tcW w:w="2101" w:type="dxa"/>
            <w:tcBorders/>
            <w:vAlign w:val="center"/>
          </w:tcPr>
          <w:p>
            <w:pPr>
              <w:pStyle w:val="TableContents"/>
              <w:bidi w:val="0"/>
              <w:spacing w:before="0" w:after="170"/>
              <w:rPr/>
            </w:pPr>
            <w:r>
              <w:rPr/>
              <w:t>Load balancer</w:t>
            </w:r>
          </w:p>
        </w:tc>
        <w:tc>
          <w:tcPr>
            <w:tcW w:w="3571" w:type="dxa"/>
            <w:tcBorders/>
            <w:vAlign w:val="center"/>
          </w:tcPr>
          <w:p>
            <w:pPr>
              <w:pStyle w:val="TableContents"/>
              <w:bidi w:val="0"/>
              <w:spacing w:before="0" w:after="170"/>
              <w:rPr/>
            </w:pPr>
            <w:r>
              <w:rPr/>
              <w:t>Includes managed TLS certificate</w:t>
            </w:r>
          </w:p>
        </w:tc>
        <w:tc>
          <w:tcPr>
            <w:tcW w:w="2476" w:type="dxa"/>
            <w:tcBorders/>
            <w:vAlign w:val="center"/>
          </w:tcPr>
          <w:p>
            <w:pPr>
              <w:pStyle w:val="TableContents"/>
              <w:bidi w:val="0"/>
              <w:spacing w:before="0" w:after="170"/>
              <w:rPr/>
            </w:pPr>
            <w:r>
              <w:rPr/>
              <w:t>$18 / month</w:t>
            </w:r>
          </w:p>
        </w:tc>
        <w:tc>
          <w:tcPr>
            <w:tcW w:w="3901" w:type="dxa"/>
            <w:tcBorders/>
            <w:vAlign w:val="center"/>
          </w:tcPr>
          <w:p>
            <w:pPr>
              <w:pStyle w:val="TableContents"/>
              <w:bidi w:val="0"/>
              <w:spacing w:before="0" w:after="170"/>
              <w:rPr/>
            </w:pPr>
            <w:r>
              <w:rPr/>
              <w:t>Certificate issue and renewal free</w:t>
            </w:r>
          </w:p>
        </w:tc>
      </w:tr>
      <w:tr>
        <w:trPr/>
        <w:tc>
          <w:tcPr>
            <w:tcW w:w="2101" w:type="dxa"/>
            <w:tcBorders/>
            <w:vAlign w:val="center"/>
          </w:tcPr>
          <w:p>
            <w:pPr>
              <w:pStyle w:val="TableContents"/>
              <w:bidi w:val="0"/>
              <w:spacing w:before="0" w:after="170"/>
              <w:rPr/>
            </w:pPr>
            <w:r>
              <w:rPr/>
              <w:t>CDN distribution</w:t>
            </w:r>
          </w:p>
        </w:tc>
        <w:tc>
          <w:tcPr>
            <w:tcW w:w="3571" w:type="dxa"/>
            <w:tcBorders/>
            <w:vAlign w:val="center"/>
          </w:tcPr>
          <w:p>
            <w:pPr>
              <w:pStyle w:val="TableContents"/>
              <w:bidi w:val="0"/>
              <w:spacing w:before="0" w:after="170"/>
              <w:rPr/>
            </w:pPr>
            <w:r>
              <w:rPr/>
              <w:t>CloudFront edge caching</w:t>
            </w:r>
          </w:p>
        </w:tc>
        <w:tc>
          <w:tcPr>
            <w:tcW w:w="2476" w:type="dxa"/>
            <w:tcBorders/>
            <w:vAlign w:val="center"/>
          </w:tcPr>
          <w:p>
            <w:pPr>
              <w:pStyle w:val="TableContents"/>
              <w:bidi w:val="0"/>
              <w:spacing w:before="0" w:after="170"/>
              <w:rPr/>
            </w:pPr>
            <w:r>
              <w:rPr/>
              <w:t>$2.50 / month</w:t>
            </w:r>
          </w:p>
        </w:tc>
        <w:tc>
          <w:tcPr>
            <w:tcW w:w="3901" w:type="dxa"/>
            <w:tcBorders/>
            <w:vAlign w:val="center"/>
          </w:tcPr>
          <w:p>
            <w:pPr>
              <w:pStyle w:val="TableContents"/>
              <w:bidi w:val="0"/>
              <w:spacing w:before="0" w:after="170"/>
              <w:rPr/>
            </w:pPr>
            <w:r>
              <w:rPr/>
              <w:t>50 GB/month free for 12 months</w:t>
            </w:r>
          </w:p>
        </w:tc>
      </w:tr>
      <w:tr>
        <w:trPr/>
        <w:tc>
          <w:tcPr>
            <w:tcW w:w="2101" w:type="dxa"/>
            <w:tcBorders/>
            <w:vAlign w:val="center"/>
          </w:tcPr>
          <w:p>
            <w:pPr>
              <w:pStyle w:val="TableContents"/>
              <w:bidi w:val="0"/>
              <w:spacing w:before="0" w:after="170"/>
              <w:rPr/>
            </w:pPr>
            <w:r>
              <w:rPr/>
              <w:t>Block storage</w:t>
            </w:r>
          </w:p>
        </w:tc>
        <w:tc>
          <w:tcPr>
            <w:tcW w:w="3571" w:type="dxa"/>
            <w:tcBorders/>
            <w:vAlign w:val="center"/>
          </w:tcPr>
          <w:p>
            <w:pPr>
              <w:pStyle w:val="TableContents"/>
              <w:bidi w:val="0"/>
              <w:spacing w:before="0" w:after="170"/>
              <w:rPr/>
            </w:pPr>
            <w:r>
              <w:rPr/>
              <w:t>Additional SSD disk</w:t>
            </w:r>
          </w:p>
        </w:tc>
        <w:tc>
          <w:tcPr>
            <w:tcW w:w="2476" w:type="dxa"/>
            <w:tcBorders/>
            <w:vAlign w:val="center"/>
          </w:tcPr>
          <w:p>
            <w:pPr>
              <w:pStyle w:val="TableContents"/>
              <w:bidi w:val="0"/>
              <w:spacing w:before="0" w:after="170"/>
              <w:rPr/>
            </w:pPr>
            <w:r>
              <w:rPr/>
              <w:t>$0.10 / GB / month</w:t>
            </w:r>
          </w:p>
        </w:tc>
        <w:tc>
          <w:tcPr>
            <w:tcW w:w="3901" w:type="dxa"/>
            <w:tcBorders/>
            <w:vAlign w:val="center"/>
          </w:tcPr>
          <w:p>
            <w:pPr>
              <w:pStyle w:val="TableContents"/>
              <w:bidi w:val="0"/>
              <w:spacing w:before="0" w:after="170"/>
              <w:rPr/>
            </w:pPr>
            <w:r>
              <w:rPr/>
              <w:t>Up to 16 TB per instance</w:t>
            </w:r>
          </w:p>
        </w:tc>
      </w:tr>
      <w:tr>
        <w:trPr/>
        <w:tc>
          <w:tcPr>
            <w:tcW w:w="2101" w:type="dxa"/>
            <w:tcBorders/>
            <w:vAlign w:val="center"/>
          </w:tcPr>
          <w:p>
            <w:pPr>
              <w:pStyle w:val="TableContents"/>
              <w:bidi w:val="0"/>
              <w:spacing w:before="0" w:after="170"/>
              <w:rPr/>
            </w:pPr>
            <w:r>
              <w:rPr/>
              <w:t>Snapshots</w:t>
            </w:r>
          </w:p>
        </w:tc>
        <w:tc>
          <w:tcPr>
            <w:tcW w:w="3571" w:type="dxa"/>
            <w:tcBorders/>
            <w:vAlign w:val="center"/>
          </w:tcPr>
          <w:p>
            <w:pPr>
              <w:pStyle w:val="TableContents"/>
              <w:bidi w:val="0"/>
              <w:spacing w:before="0" w:after="170"/>
              <w:rPr/>
            </w:pPr>
            <w:r>
              <w:rPr/>
              <w:t>Instance or disk backup</w:t>
            </w:r>
          </w:p>
        </w:tc>
        <w:tc>
          <w:tcPr>
            <w:tcW w:w="2476" w:type="dxa"/>
            <w:tcBorders/>
            <w:vAlign w:val="center"/>
          </w:tcPr>
          <w:p>
            <w:pPr>
              <w:pStyle w:val="TableContents"/>
              <w:bidi w:val="0"/>
              <w:spacing w:before="0" w:after="170"/>
              <w:rPr/>
            </w:pPr>
            <w:r>
              <w:rPr/>
              <w:t>$0.05 / GB / month</w:t>
            </w:r>
          </w:p>
        </w:tc>
        <w:tc>
          <w:tcPr>
            <w:tcW w:w="3901" w:type="dxa"/>
            <w:tcBorders/>
            <w:vAlign w:val="center"/>
          </w:tcPr>
          <w:p>
            <w:pPr>
              <w:pStyle w:val="TableContents"/>
              <w:bidi w:val="0"/>
              <w:spacing w:before="0" w:after="170"/>
              <w:rPr/>
            </w:pPr>
            <w:r>
              <w:rPr/>
              <w:t>Manual and automatic both charged</w:t>
            </w:r>
          </w:p>
        </w:tc>
      </w:tr>
      <w:tr>
        <w:trPr/>
        <w:tc>
          <w:tcPr>
            <w:tcW w:w="2101" w:type="dxa"/>
            <w:tcBorders/>
            <w:vAlign w:val="center"/>
          </w:tcPr>
          <w:p>
            <w:pPr>
              <w:pStyle w:val="TableContents"/>
              <w:bidi w:val="0"/>
              <w:spacing w:before="0" w:after="170"/>
              <w:rPr/>
            </w:pPr>
            <w:r>
              <w:rPr/>
              <w:t>Static IP</w:t>
            </w:r>
          </w:p>
        </w:tc>
        <w:tc>
          <w:tcPr>
            <w:tcW w:w="3571" w:type="dxa"/>
            <w:tcBorders/>
            <w:vAlign w:val="center"/>
          </w:tcPr>
          <w:p>
            <w:pPr>
              <w:pStyle w:val="TableContents"/>
              <w:bidi w:val="0"/>
              <w:spacing w:before="0" w:after="170"/>
              <w:rPr/>
            </w:pPr>
            <w:r>
              <w:rPr/>
              <w:t>Public IPv4 address</w:t>
            </w:r>
          </w:p>
        </w:tc>
        <w:tc>
          <w:tcPr>
            <w:tcW w:w="2476" w:type="dxa"/>
            <w:tcBorders/>
            <w:vAlign w:val="center"/>
          </w:tcPr>
          <w:p>
            <w:pPr>
              <w:pStyle w:val="TableContents"/>
              <w:bidi w:val="0"/>
              <w:spacing w:before="0" w:after="170"/>
              <w:rPr/>
            </w:pPr>
            <w:r>
              <w:rPr/>
              <w:t>Free while attached</w:t>
            </w:r>
          </w:p>
        </w:tc>
        <w:tc>
          <w:tcPr>
            <w:tcW w:w="3901" w:type="dxa"/>
            <w:tcBorders/>
            <w:vAlign w:val="center"/>
          </w:tcPr>
          <w:p>
            <w:pPr>
              <w:pStyle w:val="TableContents"/>
              <w:bidi w:val="0"/>
              <w:spacing w:before="0" w:after="170"/>
              <w:rPr/>
            </w:pPr>
            <w:r>
              <w:rPr/>
              <w:t>$0.005/hour if left unattached</w:t>
            </w:r>
          </w:p>
        </w:tc>
      </w:tr>
      <w:tr>
        <w:trPr/>
        <w:tc>
          <w:tcPr>
            <w:tcW w:w="2101" w:type="dxa"/>
            <w:tcBorders/>
            <w:vAlign w:val="center"/>
          </w:tcPr>
          <w:p>
            <w:pPr>
              <w:pStyle w:val="TableContents"/>
              <w:bidi w:val="0"/>
              <w:spacing w:before="0" w:after="170"/>
              <w:rPr/>
            </w:pPr>
            <w:r>
              <w:rPr/>
              <w:t>DNS zone</w:t>
            </w:r>
          </w:p>
        </w:tc>
        <w:tc>
          <w:tcPr>
            <w:tcW w:w="3571" w:type="dxa"/>
            <w:tcBorders/>
            <w:vAlign w:val="center"/>
          </w:tcPr>
          <w:p>
            <w:pPr>
              <w:pStyle w:val="TableContents"/>
              <w:bidi w:val="0"/>
              <w:spacing w:before="0" w:after="170"/>
              <w:rPr/>
            </w:pPr>
            <w:r>
              <w:rPr/>
              <w:t>Authoritative DNS</w:t>
            </w:r>
          </w:p>
        </w:tc>
        <w:tc>
          <w:tcPr>
            <w:tcW w:w="2476" w:type="dxa"/>
            <w:tcBorders/>
            <w:vAlign w:val="center"/>
          </w:tcPr>
          <w:p>
            <w:pPr>
              <w:pStyle w:val="TableContents"/>
              <w:bidi w:val="0"/>
              <w:spacing w:before="0" w:after="170"/>
              <w:rPr/>
            </w:pPr>
            <w:r>
              <w:rPr/>
              <w:t>Free (up to 6 zones)</w:t>
            </w:r>
          </w:p>
        </w:tc>
        <w:tc>
          <w:tcPr>
            <w:tcW w:w="3901" w:type="dxa"/>
            <w:tcBorders/>
            <w:vAlign w:val="center"/>
          </w:tcPr>
          <w:p>
            <w:pPr>
              <w:pStyle w:val="TableContents"/>
              <w:bidi w:val="0"/>
              <w:spacing w:before="0" w:after="170"/>
              <w:rPr/>
            </w:pPr>
            <w:r>
              <w:rPr/>
              <w:t>3 million queries per month</w:t>
            </w:r>
          </w:p>
        </w:tc>
      </w:tr>
    </w:tbl>
    <w:p>
      <w:pPr>
        <w:pStyle w:val="BodyText"/>
        <w:bidi w:val="0"/>
        <w:rPr/>
      </w:pPr>
      <w:r>
        <w:rPr/>
        <w:t xml:space="preserve">The pattern is consistent across the catalogue: AWS sells an </w:t>
      </w:r>
      <w:r>
        <w:rPr>
          <w:rStyle w:val="Strong"/>
        </w:rPr>
        <w:t>allowance</w:t>
      </w:r>
      <w:r>
        <w:rPr/>
        <w:t xml:space="preserve">, not a </w:t>
      </w:r>
      <w:r>
        <w:rPr>
          <w:rStyle w:val="Strong"/>
        </w:rPr>
        <w:t>meter</w:t>
      </w:r>
      <w:r>
        <w:rPr/>
        <w:t>. This is the entire commercial difference between Lightsail and the rest of AWS, and it determines where the service is and is not economical.</w:t>
      </w:r>
    </w:p>
    <w:p>
      <w:pPr>
        <w:pStyle w:val="Heading3"/>
        <w:bidi w:val="0"/>
        <w:ind w:hanging="0" w:left="0" w:right="0"/>
        <w:jc w:val="left"/>
        <w:rPr/>
      </w:pPr>
      <w:bookmarkStart w:id="29" w:name="63-cost-analysis-against-amazon-ec2"/>
      <w:bookmarkEnd w:id="29"/>
      <w:r>
        <w:rPr/>
        <w:t>6.3 Cost Analysis Against Amazon EC2</w:t>
      </w:r>
    </w:p>
    <w:p>
      <w:pPr>
        <w:pStyle w:val="BodyText"/>
        <w:bidi w:val="0"/>
        <w:rPr/>
      </w:pPr>
      <w:r>
        <w:rPr/>
        <w:t>To quantify the difference, the Lightsail Small bundle ($12/month; 2 GB RAM, 2 vCPU, 60 GB SSD, 3 TB transfer) is compared against an equivalent architecture assembled from EC2 components at us-east-1 list prices.</w:t>
      </w:r>
    </w:p>
    <w:p>
      <w:pPr>
        <w:pStyle w:val="BodyText"/>
        <w:bidi w:val="0"/>
        <w:rPr/>
      </w:pPr>
      <w:r>
        <w:rPr>
          <w:rStyle w:val="Strong"/>
        </w:rPr>
        <w:t>Model components</w:t>
      </w:r>
    </w:p>
    <w:tbl>
      <w:tblPr>
        <w:tblW w:w="8884" w:type="dxa"/>
        <w:jc w:val="left"/>
        <w:tblInd w:w="0" w:type="dxa"/>
        <w:tblLayout w:type="fixed"/>
        <w:tblCellMar>
          <w:top w:w="28" w:type="dxa"/>
          <w:left w:w="28" w:type="dxa"/>
          <w:bottom w:w="28" w:type="dxa"/>
          <w:right w:w="28" w:type="dxa"/>
        </w:tblCellMar>
      </w:tblPr>
      <w:tblGrid>
        <w:gridCol w:w="1891"/>
        <w:gridCol w:w="3376"/>
        <w:gridCol w:w="1966"/>
        <w:gridCol w:w="1651"/>
      </w:tblGrid>
      <w:tr>
        <w:trPr>
          <w:tblHeader w:val="true"/>
        </w:trPr>
        <w:tc>
          <w:tcPr>
            <w:tcW w:w="1891" w:type="dxa"/>
            <w:tcBorders/>
            <w:vAlign w:val="center"/>
          </w:tcPr>
          <w:p>
            <w:pPr>
              <w:pStyle w:val="TableHeading"/>
              <w:suppressLineNumbers/>
              <w:shd w:fill="232F3E" w:val="clear"/>
              <w:bidi w:val="0"/>
              <w:spacing w:before="0" w:after="170"/>
              <w:jc w:val="left"/>
              <w:rPr/>
            </w:pPr>
            <w:r>
              <w:rPr/>
              <w:t>Component</w:t>
            </w:r>
          </w:p>
        </w:tc>
        <w:tc>
          <w:tcPr>
            <w:tcW w:w="3376" w:type="dxa"/>
            <w:tcBorders/>
            <w:vAlign w:val="center"/>
          </w:tcPr>
          <w:p>
            <w:pPr>
              <w:pStyle w:val="TableHeading"/>
              <w:suppressLineNumbers/>
              <w:shd w:fill="232F3E" w:val="clear"/>
              <w:bidi w:val="0"/>
              <w:spacing w:before="0" w:after="170"/>
              <w:jc w:val="left"/>
              <w:rPr/>
            </w:pPr>
            <w:r>
              <w:rPr/>
              <w:t>Specification</w:t>
            </w:r>
          </w:p>
        </w:tc>
        <w:tc>
          <w:tcPr>
            <w:tcW w:w="1966" w:type="dxa"/>
            <w:tcBorders/>
            <w:vAlign w:val="center"/>
          </w:tcPr>
          <w:p>
            <w:pPr>
              <w:pStyle w:val="TableHeading"/>
              <w:bidi w:val="0"/>
              <w:spacing w:before="0" w:after="170"/>
              <w:ind w:hanging="0" w:left="0" w:right="0"/>
              <w:jc w:val="left"/>
              <w:rPr/>
            </w:pPr>
            <w:r>
              <w:rPr/>
              <w:t>Unit price</w:t>
            </w:r>
          </w:p>
        </w:tc>
        <w:tc>
          <w:tcPr>
            <w:tcW w:w="1651" w:type="dxa"/>
            <w:tcBorders/>
            <w:vAlign w:val="center"/>
          </w:tcPr>
          <w:p>
            <w:pPr>
              <w:pStyle w:val="TableHeading"/>
              <w:bidi w:val="0"/>
              <w:spacing w:before="0" w:after="170"/>
              <w:jc w:val="right"/>
              <w:rPr/>
            </w:pPr>
            <w:r>
              <w:rPr/>
              <w:t>Monthly cost</w:t>
            </w:r>
          </w:p>
        </w:tc>
      </w:tr>
      <w:tr>
        <w:trPr/>
        <w:tc>
          <w:tcPr>
            <w:tcW w:w="1891" w:type="dxa"/>
            <w:tcBorders/>
            <w:vAlign w:val="center"/>
          </w:tcPr>
          <w:p>
            <w:pPr>
              <w:pStyle w:val="TableContents"/>
              <w:bidi w:val="0"/>
              <w:spacing w:before="0" w:after="170"/>
              <w:rPr/>
            </w:pPr>
            <w:r>
              <w:rPr/>
              <w:t>Compute</w:t>
            </w:r>
          </w:p>
        </w:tc>
        <w:tc>
          <w:tcPr>
            <w:tcW w:w="3376" w:type="dxa"/>
            <w:tcBorders/>
            <w:vAlign w:val="center"/>
          </w:tcPr>
          <w:p>
            <w:pPr>
              <w:pStyle w:val="TableContents"/>
              <w:bidi w:val="0"/>
              <w:spacing w:before="0" w:after="170"/>
              <w:rPr/>
            </w:pPr>
            <w:r>
              <w:rPr/>
              <w:t>t3.small on demand, 730 hours</w:t>
            </w:r>
          </w:p>
        </w:tc>
        <w:tc>
          <w:tcPr>
            <w:tcW w:w="1966" w:type="dxa"/>
            <w:tcBorders/>
            <w:vAlign w:val="center"/>
          </w:tcPr>
          <w:p>
            <w:pPr>
              <w:pStyle w:val="TableContents"/>
              <w:bidi w:val="0"/>
              <w:spacing w:before="0" w:after="170"/>
              <w:ind w:hanging="0" w:left="0" w:right="0"/>
              <w:rPr/>
            </w:pPr>
            <w:r>
              <w:rPr/>
              <w:t>$0.0208 / hour</w:t>
            </w:r>
          </w:p>
        </w:tc>
        <w:tc>
          <w:tcPr>
            <w:tcW w:w="1651" w:type="dxa"/>
            <w:tcBorders/>
            <w:vAlign w:val="center"/>
          </w:tcPr>
          <w:p>
            <w:pPr>
              <w:pStyle w:val="TableContents"/>
              <w:bidi w:val="0"/>
              <w:spacing w:before="0" w:after="170"/>
              <w:jc w:val="right"/>
              <w:rPr/>
            </w:pPr>
            <w:r>
              <w:rPr/>
              <w:t>$15.18</w:t>
            </w:r>
          </w:p>
        </w:tc>
      </w:tr>
      <w:tr>
        <w:trPr/>
        <w:tc>
          <w:tcPr>
            <w:tcW w:w="1891" w:type="dxa"/>
            <w:tcBorders/>
            <w:vAlign w:val="center"/>
          </w:tcPr>
          <w:p>
            <w:pPr>
              <w:pStyle w:val="TableContents"/>
              <w:bidi w:val="0"/>
              <w:spacing w:before="0" w:after="170"/>
              <w:rPr/>
            </w:pPr>
            <w:r>
              <w:rPr/>
              <w:t>Storage</w:t>
            </w:r>
          </w:p>
        </w:tc>
        <w:tc>
          <w:tcPr>
            <w:tcW w:w="3376" w:type="dxa"/>
            <w:tcBorders/>
            <w:vAlign w:val="center"/>
          </w:tcPr>
          <w:p>
            <w:pPr>
              <w:pStyle w:val="TableContents"/>
              <w:bidi w:val="0"/>
              <w:spacing w:before="0" w:after="170"/>
              <w:rPr/>
            </w:pPr>
            <w:r>
              <w:rPr/>
              <w:t>60 GB gp3 EBS volume</w:t>
            </w:r>
          </w:p>
        </w:tc>
        <w:tc>
          <w:tcPr>
            <w:tcW w:w="1966" w:type="dxa"/>
            <w:tcBorders/>
            <w:vAlign w:val="center"/>
          </w:tcPr>
          <w:p>
            <w:pPr>
              <w:pStyle w:val="TableContents"/>
              <w:bidi w:val="0"/>
              <w:spacing w:before="0" w:after="170"/>
              <w:ind w:hanging="0" w:left="0" w:right="0"/>
              <w:rPr/>
            </w:pPr>
            <w:r>
              <w:rPr/>
              <w:t>$0.08 / GB-month</w:t>
            </w:r>
          </w:p>
        </w:tc>
        <w:tc>
          <w:tcPr>
            <w:tcW w:w="1651" w:type="dxa"/>
            <w:tcBorders/>
            <w:vAlign w:val="center"/>
          </w:tcPr>
          <w:p>
            <w:pPr>
              <w:pStyle w:val="TableContents"/>
              <w:bidi w:val="0"/>
              <w:spacing w:before="0" w:after="170"/>
              <w:jc w:val="right"/>
              <w:rPr/>
            </w:pPr>
            <w:r>
              <w:rPr/>
              <w:t>$4.80</w:t>
            </w:r>
          </w:p>
        </w:tc>
      </w:tr>
      <w:tr>
        <w:trPr/>
        <w:tc>
          <w:tcPr>
            <w:tcW w:w="1891" w:type="dxa"/>
            <w:tcBorders/>
            <w:vAlign w:val="center"/>
          </w:tcPr>
          <w:p>
            <w:pPr>
              <w:pStyle w:val="TableContents"/>
              <w:bidi w:val="0"/>
              <w:spacing w:before="0" w:after="170"/>
              <w:rPr/>
            </w:pPr>
            <w:r>
              <w:rPr/>
              <w:t>Public IPv4</w:t>
            </w:r>
          </w:p>
        </w:tc>
        <w:tc>
          <w:tcPr>
            <w:tcW w:w="3376" w:type="dxa"/>
            <w:tcBorders/>
            <w:vAlign w:val="center"/>
          </w:tcPr>
          <w:p>
            <w:pPr>
              <w:pStyle w:val="TableContents"/>
              <w:bidi w:val="0"/>
              <w:spacing w:before="0" w:after="170"/>
              <w:rPr/>
            </w:pPr>
            <w:r>
              <w:rPr/>
              <w:t>One in-use Elastic IP, 730 hours</w:t>
            </w:r>
          </w:p>
        </w:tc>
        <w:tc>
          <w:tcPr>
            <w:tcW w:w="1966" w:type="dxa"/>
            <w:tcBorders/>
            <w:vAlign w:val="center"/>
          </w:tcPr>
          <w:p>
            <w:pPr>
              <w:pStyle w:val="TableContents"/>
              <w:bidi w:val="0"/>
              <w:spacing w:before="0" w:after="170"/>
              <w:ind w:hanging="0" w:left="0" w:right="0"/>
              <w:rPr/>
            </w:pPr>
            <w:r>
              <w:rPr/>
              <w:t>$0.005 / hour</w:t>
            </w:r>
          </w:p>
        </w:tc>
        <w:tc>
          <w:tcPr>
            <w:tcW w:w="1651" w:type="dxa"/>
            <w:tcBorders/>
            <w:vAlign w:val="center"/>
          </w:tcPr>
          <w:p>
            <w:pPr>
              <w:pStyle w:val="TableContents"/>
              <w:bidi w:val="0"/>
              <w:spacing w:before="0" w:after="170"/>
              <w:jc w:val="right"/>
              <w:rPr/>
            </w:pPr>
            <w:r>
              <w:rPr/>
              <w:t>$3.65</w:t>
            </w:r>
          </w:p>
        </w:tc>
      </w:tr>
      <w:tr>
        <w:trPr/>
        <w:tc>
          <w:tcPr>
            <w:tcW w:w="1891" w:type="dxa"/>
            <w:tcBorders/>
            <w:vAlign w:val="center"/>
          </w:tcPr>
          <w:p>
            <w:pPr>
              <w:pStyle w:val="TableContents"/>
              <w:bidi w:val="0"/>
              <w:spacing w:before="0" w:after="170"/>
              <w:rPr/>
            </w:pPr>
            <w:r>
              <w:rPr/>
              <w:t>Data transfer out</w:t>
            </w:r>
          </w:p>
        </w:tc>
        <w:tc>
          <w:tcPr>
            <w:tcW w:w="3376" w:type="dxa"/>
            <w:tcBorders/>
            <w:vAlign w:val="center"/>
          </w:tcPr>
          <w:p>
            <w:pPr>
              <w:pStyle w:val="TableContents"/>
              <w:bidi w:val="0"/>
              <w:spacing w:before="0" w:after="170"/>
              <w:rPr/>
            </w:pPr>
            <w:r>
              <w:rPr/>
              <w:t>First 100 GB free, then metered</w:t>
            </w:r>
          </w:p>
        </w:tc>
        <w:tc>
          <w:tcPr>
            <w:tcW w:w="1966" w:type="dxa"/>
            <w:tcBorders/>
            <w:vAlign w:val="center"/>
          </w:tcPr>
          <w:p>
            <w:pPr>
              <w:pStyle w:val="TableContents"/>
              <w:bidi w:val="0"/>
              <w:spacing w:before="0" w:after="170"/>
              <w:ind w:hanging="0" w:left="0" w:right="0"/>
              <w:rPr/>
            </w:pPr>
            <w:r>
              <w:rPr/>
              <w:t>$0.09 / GB</w:t>
            </w:r>
          </w:p>
        </w:tc>
        <w:tc>
          <w:tcPr>
            <w:tcW w:w="1651" w:type="dxa"/>
            <w:tcBorders/>
            <w:vAlign w:val="center"/>
          </w:tcPr>
          <w:p>
            <w:pPr>
              <w:pStyle w:val="TableContents"/>
              <w:bidi w:val="0"/>
              <w:spacing w:before="0" w:after="170"/>
              <w:jc w:val="right"/>
              <w:rPr/>
            </w:pPr>
            <w:r>
              <w:rPr>
                <w:rStyle w:val="Emphasis"/>
              </w:rPr>
              <w:t>varies</w:t>
            </w:r>
          </w:p>
        </w:tc>
      </w:tr>
      <w:tr>
        <w:trPr/>
        <w:tc>
          <w:tcPr>
            <w:tcW w:w="1891" w:type="dxa"/>
            <w:tcBorders/>
            <w:vAlign w:val="center"/>
          </w:tcPr>
          <w:p>
            <w:pPr>
              <w:pStyle w:val="TableContents"/>
              <w:bidi w:val="0"/>
              <w:spacing w:before="0" w:after="170"/>
              <w:rPr>
                <w:sz w:val="4"/>
                <w:szCs w:val="4"/>
              </w:rPr>
            </w:pPr>
            <w:r>
              <w:rPr>
                <w:sz w:val="4"/>
                <w:szCs w:val="4"/>
              </w:rPr>
            </w:r>
          </w:p>
        </w:tc>
        <w:tc>
          <w:tcPr>
            <w:tcW w:w="3376" w:type="dxa"/>
            <w:tcBorders/>
            <w:vAlign w:val="center"/>
          </w:tcPr>
          <w:p>
            <w:pPr>
              <w:pStyle w:val="TableContents"/>
              <w:bidi w:val="0"/>
              <w:spacing w:before="0" w:after="170"/>
              <w:rPr>
                <w:sz w:val="4"/>
                <w:szCs w:val="4"/>
              </w:rPr>
            </w:pPr>
            <w:r>
              <w:rPr>
                <w:sz w:val="4"/>
                <w:szCs w:val="4"/>
              </w:rPr>
            </w:r>
          </w:p>
        </w:tc>
        <w:tc>
          <w:tcPr>
            <w:tcW w:w="1966" w:type="dxa"/>
            <w:tcBorders/>
            <w:vAlign w:val="center"/>
          </w:tcPr>
          <w:p>
            <w:pPr>
              <w:pStyle w:val="TableContents"/>
              <w:bidi w:val="0"/>
              <w:spacing w:before="0" w:after="170"/>
              <w:ind w:hanging="0" w:left="0" w:right="0"/>
              <w:rPr/>
            </w:pPr>
            <w:r>
              <w:rPr>
                <w:rStyle w:val="Strong"/>
              </w:rPr>
              <w:t>Fixed subtotal</w:t>
            </w:r>
          </w:p>
        </w:tc>
        <w:tc>
          <w:tcPr>
            <w:tcW w:w="1651" w:type="dxa"/>
            <w:tcBorders/>
            <w:vAlign w:val="center"/>
          </w:tcPr>
          <w:p>
            <w:pPr>
              <w:pStyle w:val="TableContents"/>
              <w:bidi w:val="0"/>
              <w:spacing w:before="0" w:after="170"/>
              <w:jc w:val="right"/>
              <w:rPr/>
            </w:pPr>
            <w:r>
              <w:rPr>
                <w:rStyle w:val="Strong"/>
              </w:rPr>
              <w:t>$23.63</w:t>
            </w:r>
          </w:p>
        </w:tc>
      </w:tr>
    </w:tbl>
    <w:p>
      <w:pPr>
        <w:pStyle w:val="BodyText"/>
        <w:bidi w:val="0"/>
        <w:rPr/>
      </w:pPr>
      <w:r>
        <w:rPr>
          <w:rStyle w:val="Strong"/>
        </w:rPr>
        <w:t>Total monthly cost at three egress volumes</w:t>
      </w:r>
    </w:p>
    <w:tbl>
      <w:tblPr>
        <w:tblW w:w="9171" w:type="dxa"/>
        <w:jc w:val="left"/>
        <w:tblInd w:w="0" w:type="dxa"/>
        <w:tblLayout w:type="fixed"/>
        <w:tblCellMar>
          <w:top w:w="28" w:type="dxa"/>
          <w:left w:w="28" w:type="dxa"/>
          <w:bottom w:w="28" w:type="dxa"/>
          <w:right w:w="28" w:type="dxa"/>
        </w:tblCellMar>
      </w:tblPr>
      <w:tblGrid>
        <w:gridCol w:w="1921"/>
        <w:gridCol w:w="1366"/>
        <w:gridCol w:w="1636"/>
        <w:gridCol w:w="1156"/>
        <w:gridCol w:w="1726"/>
        <w:gridCol w:w="1366"/>
      </w:tblGrid>
      <w:tr>
        <w:trPr>
          <w:tblHeader w:val="true"/>
        </w:trPr>
        <w:tc>
          <w:tcPr>
            <w:tcW w:w="1921" w:type="dxa"/>
            <w:tcBorders/>
            <w:vAlign w:val="center"/>
          </w:tcPr>
          <w:p>
            <w:pPr>
              <w:pStyle w:val="TableHeading"/>
              <w:bidi w:val="0"/>
              <w:spacing w:before="0" w:after="170"/>
              <w:ind w:hanging="0" w:left="0" w:right="0"/>
              <w:jc w:val="left"/>
              <w:rPr/>
            </w:pPr>
            <w:r>
              <w:rPr/>
              <w:t>Monthly egress</w:t>
            </w:r>
          </w:p>
        </w:tc>
        <w:tc>
          <w:tcPr>
            <w:tcW w:w="1366" w:type="dxa"/>
            <w:tcBorders/>
            <w:vAlign w:val="center"/>
          </w:tcPr>
          <w:p>
            <w:pPr>
              <w:pStyle w:val="TableHeading"/>
              <w:bidi w:val="0"/>
              <w:spacing w:before="0" w:after="170"/>
              <w:ind w:hanging="0" w:left="0" w:right="0"/>
              <w:jc w:val="right"/>
              <w:rPr/>
            </w:pPr>
            <w:r>
              <w:rPr/>
              <w:t>Billable GB</w:t>
            </w:r>
          </w:p>
        </w:tc>
        <w:tc>
          <w:tcPr>
            <w:tcW w:w="1636" w:type="dxa"/>
            <w:tcBorders/>
            <w:vAlign w:val="center"/>
          </w:tcPr>
          <w:p>
            <w:pPr>
              <w:pStyle w:val="TableHeading"/>
              <w:bidi w:val="0"/>
              <w:spacing w:before="0" w:after="170"/>
              <w:ind w:hanging="0" w:left="0" w:right="0"/>
              <w:jc w:val="right"/>
              <w:rPr/>
            </w:pPr>
            <w:r>
              <w:rPr/>
              <w:t>Transfer cost</w:t>
            </w:r>
          </w:p>
        </w:tc>
        <w:tc>
          <w:tcPr>
            <w:tcW w:w="1156" w:type="dxa"/>
            <w:tcBorders/>
            <w:vAlign w:val="center"/>
          </w:tcPr>
          <w:p>
            <w:pPr>
              <w:pStyle w:val="TableHeading"/>
              <w:bidi w:val="0"/>
              <w:spacing w:before="0" w:after="170"/>
              <w:ind w:hanging="0" w:left="0" w:right="0"/>
              <w:jc w:val="right"/>
              <w:rPr/>
            </w:pPr>
            <w:r>
              <w:rPr/>
              <w:t>EC2 total</w:t>
            </w:r>
          </w:p>
        </w:tc>
        <w:tc>
          <w:tcPr>
            <w:tcW w:w="1726" w:type="dxa"/>
            <w:tcBorders/>
            <w:vAlign w:val="center"/>
          </w:tcPr>
          <w:p>
            <w:pPr>
              <w:pStyle w:val="TableHeading"/>
              <w:bidi w:val="0"/>
              <w:spacing w:before="0" w:after="170"/>
              <w:ind w:hanging="0" w:left="0" w:right="0"/>
              <w:jc w:val="right"/>
              <w:rPr/>
            </w:pPr>
            <w:r>
              <w:rPr/>
              <w:t>Lightsail total</w:t>
            </w:r>
          </w:p>
        </w:tc>
        <w:tc>
          <w:tcPr>
            <w:tcW w:w="1366" w:type="dxa"/>
            <w:tcBorders/>
            <w:vAlign w:val="center"/>
          </w:tcPr>
          <w:p>
            <w:pPr>
              <w:pStyle w:val="TableHeading"/>
              <w:bidi w:val="0"/>
              <w:spacing w:before="0" w:after="170"/>
              <w:jc w:val="right"/>
              <w:rPr/>
            </w:pPr>
            <w:r>
              <w:rPr/>
              <w:t>Difference</w:t>
            </w:r>
          </w:p>
        </w:tc>
      </w:tr>
      <w:tr>
        <w:trPr/>
        <w:tc>
          <w:tcPr>
            <w:tcW w:w="1921" w:type="dxa"/>
            <w:tcBorders/>
            <w:vAlign w:val="center"/>
          </w:tcPr>
          <w:p>
            <w:pPr>
              <w:pStyle w:val="TableContents"/>
              <w:bidi w:val="0"/>
              <w:spacing w:before="0" w:after="170"/>
              <w:ind w:hanging="0" w:left="0" w:right="0"/>
              <w:rPr/>
            </w:pPr>
            <w:r>
              <w:rPr/>
              <w:t>100 GB</w:t>
            </w:r>
          </w:p>
        </w:tc>
        <w:tc>
          <w:tcPr>
            <w:tcW w:w="1366" w:type="dxa"/>
            <w:tcBorders/>
            <w:vAlign w:val="center"/>
          </w:tcPr>
          <w:p>
            <w:pPr>
              <w:pStyle w:val="TableContents"/>
              <w:bidi w:val="0"/>
              <w:spacing w:before="0" w:after="170"/>
              <w:ind w:hanging="0" w:left="0" w:right="0"/>
              <w:jc w:val="right"/>
              <w:rPr/>
            </w:pPr>
            <w:r>
              <w:rPr/>
              <w:t>0</w:t>
            </w:r>
          </w:p>
        </w:tc>
        <w:tc>
          <w:tcPr>
            <w:tcW w:w="1636" w:type="dxa"/>
            <w:tcBorders/>
            <w:vAlign w:val="center"/>
          </w:tcPr>
          <w:p>
            <w:pPr>
              <w:pStyle w:val="TableContents"/>
              <w:bidi w:val="0"/>
              <w:spacing w:before="0" w:after="170"/>
              <w:ind w:hanging="0" w:left="0" w:right="0"/>
              <w:jc w:val="right"/>
              <w:rPr/>
            </w:pPr>
            <w:r>
              <w:rPr/>
              <w:t>$0.00</w:t>
            </w:r>
          </w:p>
        </w:tc>
        <w:tc>
          <w:tcPr>
            <w:tcW w:w="1156" w:type="dxa"/>
            <w:tcBorders/>
            <w:vAlign w:val="center"/>
          </w:tcPr>
          <w:p>
            <w:pPr>
              <w:pStyle w:val="TableContents"/>
              <w:bidi w:val="0"/>
              <w:spacing w:before="0" w:after="170"/>
              <w:ind w:hanging="0" w:left="0" w:right="0"/>
              <w:jc w:val="right"/>
              <w:rPr/>
            </w:pPr>
            <w:r>
              <w:rPr>
                <w:rStyle w:val="Strong"/>
              </w:rPr>
              <w:t>$23.63</w:t>
            </w:r>
          </w:p>
        </w:tc>
        <w:tc>
          <w:tcPr>
            <w:tcW w:w="1726" w:type="dxa"/>
            <w:tcBorders/>
            <w:vAlign w:val="center"/>
          </w:tcPr>
          <w:p>
            <w:pPr>
              <w:pStyle w:val="TableContents"/>
              <w:bidi w:val="0"/>
              <w:spacing w:before="0" w:after="170"/>
              <w:ind w:hanging="0" w:left="0" w:right="0"/>
              <w:jc w:val="right"/>
              <w:rPr/>
            </w:pPr>
            <w:r>
              <w:rPr/>
              <w:t>$12.00</w:t>
            </w:r>
          </w:p>
        </w:tc>
        <w:tc>
          <w:tcPr>
            <w:tcW w:w="1366" w:type="dxa"/>
            <w:tcBorders/>
            <w:vAlign w:val="center"/>
          </w:tcPr>
          <w:p>
            <w:pPr>
              <w:pStyle w:val="TableContents"/>
              <w:bidi w:val="0"/>
              <w:spacing w:before="0" w:after="170"/>
              <w:jc w:val="right"/>
              <w:rPr/>
            </w:pPr>
            <w:r>
              <w:rPr/>
              <w:t>+$11.63</w:t>
            </w:r>
          </w:p>
        </w:tc>
      </w:tr>
      <w:tr>
        <w:trPr/>
        <w:tc>
          <w:tcPr>
            <w:tcW w:w="1921" w:type="dxa"/>
            <w:tcBorders/>
            <w:vAlign w:val="center"/>
          </w:tcPr>
          <w:p>
            <w:pPr>
              <w:pStyle w:val="TableContents"/>
              <w:bidi w:val="0"/>
              <w:spacing w:before="0" w:after="170"/>
              <w:ind w:hanging="0" w:left="0" w:right="0"/>
              <w:rPr/>
            </w:pPr>
            <w:r>
              <w:rPr/>
              <w:t>1 TB (1,024 GB)</w:t>
            </w:r>
          </w:p>
        </w:tc>
        <w:tc>
          <w:tcPr>
            <w:tcW w:w="1366" w:type="dxa"/>
            <w:tcBorders/>
            <w:vAlign w:val="center"/>
          </w:tcPr>
          <w:p>
            <w:pPr>
              <w:pStyle w:val="TableContents"/>
              <w:bidi w:val="0"/>
              <w:spacing w:before="0" w:after="170"/>
              <w:ind w:hanging="0" w:left="0" w:right="0"/>
              <w:jc w:val="right"/>
              <w:rPr/>
            </w:pPr>
            <w:r>
              <w:rPr/>
              <w:t>924</w:t>
            </w:r>
          </w:p>
        </w:tc>
        <w:tc>
          <w:tcPr>
            <w:tcW w:w="1636" w:type="dxa"/>
            <w:tcBorders/>
            <w:vAlign w:val="center"/>
          </w:tcPr>
          <w:p>
            <w:pPr>
              <w:pStyle w:val="TableContents"/>
              <w:bidi w:val="0"/>
              <w:spacing w:before="0" w:after="170"/>
              <w:ind w:hanging="0" w:left="0" w:right="0"/>
              <w:jc w:val="right"/>
              <w:rPr/>
            </w:pPr>
            <w:r>
              <w:rPr/>
              <w:t>$83.16</w:t>
            </w:r>
          </w:p>
        </w:tc>
        <w:tc>
          <w:tcPr>
            <w:tcW w:w="1156" w:type="dxa"/>
            <w:tcBorders/>
            <w:vAlign w:val="center"/>
          </w:tcPr>
          <w:p>
            <w:pPr>
              <w:pStyle w:val="TableContents"/>
              <w:bidi w:val="0"/>
              <w:spacing w:before="0" w:after="170"/>
              <w:ind w:hanging="0" w:left="0" w:right="0"/>
              <w:jc w:val="right"/>
              <w:rPr/>
            </w:pPr>
            <w:r>
              <w:rPr>
                <w:rStyle w:val="Strong"/>
              </w:rPr>
              <w:t>$106.79</w:t>
            </w:r>
          </w:p>
        </w:tc>
        <w:tc>
          <w:tcPr>
            <w:tcW w:w="1726" w:type="dxa"/>
            <w:tcBorders/>
            <w:vAlign w:val="center"/>
          </w:tcPr>
          <w:p>
            <w:pPr>
              <w:pStyle w:val="TableContents"/>
              <w:bidi w:val="0"/>
              <w:spacing w:before="0" w:after="170"/>
              <w:ind w:hanging="0" w:left="0" w:right="0"/>
              <w:jc w:val="right"/>
              <w:rPr/>
            </w:pPr>
            <w:r>
              <w:rPr/>
              <w:t>$12.00</w:t>
            </w:r>
          </w:p>
        </w:tc>
        <w:tc>
          <w:tcPr>
            <w:tcW w:w="1366" w:type="dxa"/>
            <w:tcBorders/>
            <w:vAlign w:val="center"/>
          </w:tcPr>
          <w:p>
            <w:pPr>
              <w:pStyle w:val="TableContents"/>
              <w:bidi w:val="0"/>
              <w:spacing w:before="0" w:after="170"/>
              <w:jc w:val="right"/>
              <w:rPr/>
            </w:pPr>
            <w:r>
              <w:rPr/>
              <w:t>+$94.79</w:t>
            </w:r>
          </w:p>
        </w:tc>
      </w:tr>
      <w:tr>
        <w:trPr/>
        <w:tc>
          <w:tcPr>
            <w:tcW w:w="1921" w:type="dxa"/>
            <w:tcBorders/>
            <w:vAlign w:val="center"/>
          </w:tcPr>
          <w:p>
            <w:pPr>
              <w:pStyle w:val="TableContents"/>
              <w:bidi w:val="0"/>
              <w:spacing w:before="0" w:after="170"/>
              <w:ind w:hanging="0" w:left="0" w:right="0"/>
              <w:rPr/>
            </w:pPr>
            <w:r>
              <w:rPr/>
              <w:t>3 TB (3,072 GB)</w:t>
            </w:r>
          </w:p>
        </w:tc>
        <w:tc>
          <w:tcPr>
            <w:tcW w:w="1366" w:type="dxa"/>
            <w:tcBorders/>
            <w:vAlign w:val="center"/>
          </w:tcPr>
          <w:p>
            <w:pPr>
              <w:pStyle w:val="TableContents"/>
              <w:bidi w:val="0"/>
              <w:spacing w:before="0" w:after="170"/>
              <w:ind w:hanging="0" w:left="0" w:right="0"/>
              <w:jc w:val="right"/>
              <w:rPr/>
            </w:pPr>
            <w:r>
              <w:rPr/>
              <w:t>2,972</w:t>
            </w:r>
          </w:p>
        </w:tc>
        <w:tc>
          <w:tcPr>
            <w:tcW w:w="1636" w:type="dxa"/>
            <w:tcBorders/>
            <w:vAlign w:val="center"/>
          </w:tcPr>
          <w:p>
            <w:pPr>
              <w:pStyle w:val="TableContents"/>
              <w:bidi w:val="0"/>
              <w:spacing w:before="0" w:after="170"/>
              <w:ind w:hanging="0" w:left="0" w:right="0"/>
              <w:jc w:val="right"/>
              <w:rPr/>
            </w:pPr>
            <w:r>
              <w:rPr/>
              <w:t>$267.48</w:t>
            </w:r>
          </w:p>
        </w:tc>
        <w:tc>
          <w:tcPr>
            <w:tcW w:w="1156" w:type="dxa"/>
            <w:tcBorders/>
            <w:vAlign w:val="center"/>
          </w:tcPr>
          <w:p>
            <w:pPr>
              <w:pStyle w:val="TableContents"/>
              <w:bidi w:val="0"/>
              <w:spacing w:before="0" w:after="170"/>
              <w:ind w:hanging="0" w:left="0" w:right="0"/>
              <w:jc w:val="right"/>
              <w:rPr/>
            </w:pPr>
            <w:r>
              <w:rPr>
                <w:rStyle w:val="Strong"/>
              </w:rPr>
              <w:t>$291.11</w:t>
            </w:r>
          </w:p>
        </w:tc>
        <w:tc>
          <w:tcPr>
            <w:tcW w:w="1726" w:type="dxa"/>
            <w:tcBorders/>
            <w:vAlign w:val="center"/>
          </w:tcPr>
          <w:p>
            <w:pPr>
              <w:pStyle w:val="TableContents"/>
              <w:bidi w:val="0"/>
              <w:spacing w:before="0" w:after="170"/>
              <w:ind w:hanging="0" w:left="0" w:right="0"/>
              <w:jc w:val="right"/>
              <w:rPr/>
            </w:pPr>
            <w:r>
              <w:rPr/>
              <w:t>$12.00</w:t>
            </w:r>
          </w:p>
        </w:tc>
        <w:tc>
          <w:tcPr>
            <w:tcW w:w="1366" w:type="dxa"/>
            <w:tcBorders/>
            <w:vAlign w:val="center"/>
          </w:tcPr>
          <w:p>
            <w:pPr>
              <w:pStyle w:val="TableContents"/>
              <w:bidi w:val="0"/>
              <w:spacing w:before="0" w:after="170"/>
              <w:jc w:val="right"/>
              <w:rPr/>
            </w:pPr>
            <w:r>
              <w:rPr/>
              <w:t>+$279.11</w:t>
            </w:r>
          </w:p>
        </w:tc>
      </w:tr>
    </w:tbl>
    <w:p>
      <w:pPr>
        <w:pStyle w:val="BodyText"/>
        <w:bidi w:val="0"/>
        <w:rPr/>
      </w:pPr>
      <w:r>
        <w:rPr/>
        <w:drawing>
          <wp:inline distT="0" distB="0" distL="0" distR="0">
            <wp:extent cx="19047460" cy="9904730"/>
            <wp:effectExtent l="0" t="0" r="0" b="0"/>
            <wp:docPr id="3" name="Image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pic:cNvPicPr>
                      <a:picLocks noChangeAspect="1" noChangeArrowheads="1"/>
                    </pic:cNvPicPr>
                  </pic:nvPicPr>
                  <pic:blipFill>
                    <a:blip r:embed="rId4"/>
                    <a:stretch>
                      <a:fillRect/>
                    </a:stretch>
                  </pic:blipFill>
                  <pic:spPr bwMode="auto">
                    <a:xfrm>
                      <a:off x="0" y="0"/>
                      <a:ext cx="19047460" cy="9904730"/>
                    </a:xfrm>
                    <a:prstGeom prst="rect">
                      <a:avLst/>
                    </a:prstGeom>
                  </pic:spPr>
                </pic:pic>
              </a:graphicData>
            </a:graphic>
          </wp:inline>
        </w:drawing>
      </w:r>
    </w:p>
    <w:p>
      <w:pPr>
        <w:pStyle w:val="BodyTextcaption"/>
        <w:bidi w:val="0"/>
        <w:rPr/>
      </w:pPr>
      <w:r>
        <w:rPr>
          <w:rStyle w:val="Strong"/>
        </w:rPr>
        <w:t>Figure 3</w:t>
      </w:r>
      <w:r>
        <w:rPr/>
        <w:t xml:space="preserve"> — Modelled monthly cost of an equivalent deployment on EC2 against the flat Lightsail bundle price.</w:t>
      </w:r>
    </w:p>
    <w:p>
      <w:pPr>
        <w:pStyle w:val="BodyText"/>
        <w:bidi w:val="0"/>
        <w:rPr/>
      </w:pPr>
      <w:r>
        <w:rPr>
          <w:rStyle w:val="Strong"/>
        </w:rPr>
        <w:t>Interpretation.</w:t>
      </w:r>
      <w:r>
        <w:rPr/>
        <w:t xml:space="preserve"> The comparison must be read carefully, and three qualifications matter:</w:t>
      </w:r>
    </w:p>
    <w:p>
      <w:pPr>
        <w:pStyle w:val="BodyText"/>
        <w:numPr>
          <w:ilvl w:val="0"/>
          <w:numId w:val="9"/>
        </w:numPr>
        <w:tabs>
          <w:tab w:val="clear" w:pos="1134"/>
          <w:tab w:val="left" w:pos="709" w:leader="none"/>
        </w:tabs>
        <w:bidi w:val="0"/>
        <w:spacing w:before="0" w:after="0"/>
        <w:ind w:hanging="283" w:left="709"/>
        <w:rPr/>
      </w:pPr>
      <w:r>
        <w:rPr>
          <w:rStyle w:val="Strong"/>
        </w:rPr>
        <w:t>Data transfer, not compute, drives the gap.</w:t>
      </w:r>
      <w:r>
        <w:rPr/>
        <w:t xml:space="preserve"> The compute and storage components are broadly comparable — $19.98 of EC2 resources against a $12.00 bundle. Every dollar of the remaining difference is egress and the IPv4 address. </w:t>
      </w:r>
    </w:p>
    <w:p>
      <w:pPr>
        <w:pStyle w:val="BodyText"/>
        <w:numPr>
          <w:ilvl w:val="0"/>
          <w:numId w:val="9"/>
        </w:numPr>
        <w:tabs>
          <w:tab w:val="clear" w:pos="1134"/>
          <w:tab w:val="left" w:pos="709" w:leader="none"/>
        </w:tabs>
        <w:bidi w:val="0"/>
        <w:spacing w:before="0" w:after="0"/>
        <w:ind w:hanging="283" w:left="709"/>
        <w:rPr/>
      </w:pPr>
      <w:r>
        <w:rPr>
          <w:rStyle w:val="Strong"/>
        </w:rPr>
        <w:t>The advantage is conditional on actually using the allowance.</w:t>
      </w:r>
      <w:r>
        <w:rPr/>
        <w:t xml:space="preserve"> A site serving 100 GB per month saves $11.63; one serving 3 TB saves $279.11. Lightsail's fixed price is a wager that most small workloads never approach their allowance — which is precisely why AWS can offer it. </w:t>
      </w:r>
    </w:p>
    <w:p>
      <w:pPr>
        <w:pStyle w:val="BodyText"/>
        <w:numPr>
          <w:ilvl w:val="0"/>
          <w:numId w:val="9"/>
        </w:numPr>
        <w:tabs>
          <w:tab w:val="clear" w:pos="1134"/>
          <w:tab w:val="left" w:pos="709" w:leader="none"/>
        </w:tabs>
        <w:bidi w:val="0"/>
        <w:ind w:hanging="283" w:left="709"/>
        <w:rPr/>
      </w:pPr>
      <w:r>
        <w:rPr>
          <w:rStyle w:val="Strong"/>
        </w:rPr>
        <w:t>EC2 recovers ground through instruments Lightsail lacks.</w:t>
      </w:r>
      <w:r>
        <w:rPr/>
        <w:t xml:space="preserve"> Savings Plans, Reserved Instances and Spot pricing can reduce the compute component substantially. They cannot, however, reduce egress, which is where the difference actually lies. </w:t>
      </w:r>
    </w:p>
    <w:p>
      <w:pPr>
        <w:pStyle w:val="BodyText"/>
        <w:bidi w:val="0"/>
        <w:rPr/>
      </w:pPr>
      <w:r>
        <w:rPr/>
        <w:t xml:space="preserve">The honest conclusion is that Lightsail's economic case rests on </w:t>
      </w:r>
      <w:r>
        <w:rPr>
          <w:rStyle w:val="Strong"/>
        </w:rPr>
        <w:t>bandwidth included in the price</w:t>
      </w:r>
      <w:r>
        <w:rPr/>
        <w:t xml:space="preserve"> and on </w:t>
      </w:r>
      <w:r>
        <w:rPr>
          <w:rStyle w:val="Strong"/>
        </w:rPr>
        <w:t>cost certainty stated in advance</w:t>
      </w:r>
      <w:r>
        <w:rPr/>
        <w:t>, not on cheaper computing.</w:t>
      </w:r>
    </w:p>
    <w:p>
      <w:pPr>
        <w:pStyle w:val="Heading3"/>
        <w:bidi w:val="0"/>
        <w:ind w:hanging="0" w:left="0" w:right="0"/>
        <w:jc w:val="left"/>
        <w:rPr/>
      </w:pPr>
      <w:bookmarkStart w:id="30" w:name="64-free-tier"/>
      <w:bookmarkEnd w:id="30"/>
      <w:r>
        <w:rPr/>
        <w:t>6.4 Free Tier</w:t>
      </w:r>
    </w:p>
    <w:p>
      <w:pPr>
        <w:pStyle w:val="BodyText"/>
        <w:bidi w:val="0"/>
        <w:rPr/>
      </w:pPr>
      <w:r>
        <w:rPr/>
        <w:t>New accounts receive a three-month introductory credit on selected Linux/Unix IPv6 instance bundles, and twelve months free on the first object storage bundle (5 GB) and on CDN distributions up to 50 GB per month. These are onboarding incentives rather than a perpetual free tier.</w:t>
      </w:r>
    </w:p>
    <w:p>
      <w:pPr>
        <w:pStyle w:val="HorizontalLine"/>
        <w:bidi w:val="0"/>
        <w:jc w:val="left"/>
        <w:rPr/>
      </w:pPr>
      <w:r>
        <w:rPr/>
      </w:r>
    </w:p>
    <w:p>
      <w:pPr>
        <w:pStyle w:val="Heading2"/>
        <w:bidi w:val="0"/>
        <w:ind w:hanging="0" w:left="0" w:right="0"/>
        <w:jc w:val="left"/>
        <w:rPr/>
      </w:pPr>
      <w:bookmarkStart w:id="31" w:name="7-networking-and-security"/>
      <w:bookmarkEnd w:id="31"/>
      <w:r>
        <w:rPr/>
        <w:t>7. Networking and Security</w:t>
      </w:r>
    </w:p>
    <w:p>
      <w:pPr>
        <w:pStyle w:val="BodyText"/>
        <w:bidi w:val="0"/>
        <w:rPr/>
      </w:pPr>
      <w:r>
        <w:rPr/>
        <w:drawing>
          <wp:inline distT="0" distB="0" distL="0" distR="0">
            <wp:extent cx="20317460" cy="11174095"/>
            <wp:effectExtent l="0" t="0" r="0" b="0"/>
            <wp:docPr id="4" name="Image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pic:cNvPicPr>
                      <a:picLocks noChangeAspect="1" noChangeArrowheads="1"/>
                    </pic:cNvPicPr>
                  </pic:nvPicPr>
                  <pic:blipFill>
                    <a:blip r:embed="rId5"/>
                    <a:stretch>
                      <a:fillRect/>
                    </a:stretch>
                  </pic:blipFill>
                  <pic:spPr bwMode="auto">
                    <a:xfrm>
                      <a:off x="0" y="0"/>
                      <a:ext cx="20317460" cy="11174095"/>
                    </a:xfrm>
                    <a:prstGeom prst="rect">
                      <a:avLst/>
                    </a:prstGeom>
                  </pic:spPr>
                </pic:pic>
              </a:graphicData>
            </a:graphic>
          </wp:inline>
        </w:drawing>
      </w:r>
    </w:p>
    <w:p>
      <w:pPr>
        <w:pStyle w:val="BodyTextcaption"/>
        <w:bidi w:val="0"/>
        <w:rPr/>
      </w:pPr>
      <w:r>
        <w:rPr>
          <w:rStyle w:val="Strong"/>
        </w:rPr>
        <w:t>Figure 4</w:t>
      </w:r>
      <w:r>
        <w:rPr/>
        <w:t xml:space="preserve"> — A conventional highly available Lightsail deployment.</w:t>
      </w:r>
    </w:p>
    <w:p>
      <w:pPr>
        <w:pStyle w:val="Heading3"/>
        <w:bidi w:val="0"/>
        <w:ind w:hanging="0" w:left="0" w:right="0"/>
        <w:jc w:val="left"/>
        <w:rPr/>
      </w:pPr>
      <w:bookmarkStart w:id="32" w:name="71-security-defaults"/>
      <w:bookmarkEnd w:id="32"/>
      <w:r>
        <w:rPr/>
        <w:t>7.1 Security Defaults</w:t>
      </w:r>
    </w:p>
    <w:p>
      <w:pPr>
        <w:pStyle w:val="BodyText"/>
        <w:bidi w:val="0"/>
        <w:rPr/>
      </w:pPr>
      <w:r>
        <w:rPr/>
        <w:t>Lightsail's security posture is deliberately sensible by default:</w:t>
      </w:r>
    </w:p>
    <w:p>
      <w:pPr>
        <w:pStyle w:val="BodyText"/>
        <w:numPr>
          <w:ilvl w:val="0"/>
          <w:numId w:val="10"/>
        </w:numPr>
        <w:tabs>
          <w:tab w:val="clear" w:pos="1134"/>
          <w:tab w:val="left" w:pos="709" w:leader="none"/>
        </w:tabs>
        <w:bidi w:val="0"/>
        <w:spacing w:before="0" w:after="0"/>
        <w:ind w:hanging="283" w:left="709"/>
        <w:rPr/>
      </w:pPr>
      <w:r>
        <w:rPr>
          <w:rStyle w:val="Strong"/>
        </w:rPr>
        <w:t>Per-instance firewall.</w:t>
      </w:r>
      <w:r>
        <w:rPr/>
        <w:t xml:space="preserve"> Every instance carries its own firewall, configured from the console, opening only the ports the selected blueprint requires. The default is deny. </w:t>
      </w:r>
    </w:p>
    <w:p>
      <w:pPr>
        <w:pStyle w:val="BodyText"/>
        <w:numPr>
          <w:ilvl w:val="0"/>
          <w:numId w:val="10"/>
        </w:numPr>
        <w:tabs>
          <w:tab w:val="clear" w:pos="1134"/>
          <w:tab w:val="left" w:pos="709" w:leader="none"/>
        </w:tabs>
        <w:bidi w:val="0"/>
        <w:spacing w:before="0" w:after="0"/>
        <w:ind w:hanging="283" w:left="709"/>
        <w:rPr/>
      </w:pPr>
      <w:r>
        <w:rPr>
          <w:rStyle w:val="Strong"/>
        </w:rPr>
        <w:t>Free managed TLS.</w:t>
      </w:r>
      <w:r>
        <w:rPr/>
        <w:t xml:space="preserve"> A load balancer issues and automatically renews certificates at no charge. Instances not behind a load balancer can use Let's Encrypt, which the Bitnami and AWS blueprints include tooling to configure. </w:t>
      </w:r>
    </w:p>
    <w:p>
      <w:pPr>
        <w:pStyle w:val="BodyText"/>
        <w:numPr>
          <w:ilvl w:val="0"/>
          <w:numId w:val="10"/>
        </w:numPr>
        <w:tabs>
          <w:tab w:val="clear" w:pos="1134"/>
          <w:tab w:val="left" w:pos="709" w:leader="none"/>
        </w:tabs>
        <w:bidi w:val="0"/>
        <w:spacing w:before="0" w:after="0"/>
        <w:ind w:hanging="283" w:left="709"/>
        <w:rPr/>
      </w:pPr>
      <w:r>
        <w:rPr>
          <w:rStyle w:val="Strong"/>
        </w:rPr>
        <w:t>Stable addressing.</w:t>
      </w:r>
      <w:r>
        <w:rPr/>
        <w:t xml:space="preserve"> A static IPv4 address survives instance stop, start and restore, and is free while attached. The $0.005/hour charge on unattached addresses exists to discourage hoarding of scarce IPv4 space. </w:t>
      </w:r>
    </w:p>
    <w:p>
      <w:pPr>
        <w:pStyle w:val="BodyText"/>
        <w:numPr>
          <w:ilvl w:val="0"/>
          <w:numId w:val="10"/>
        </w:numPr>
        <w:tabs>
          <w:tab w:val="clear" w:pos="1134"/>
          <w:tab w:val="left" w:pos="709" w:leader="none"/>
        </w:tabs>
        <w:bidi w:val="0"/>
        <w:spacing w:before="0" w:after="0"/>
        <w:ind w:hanging="283" w:left="709"/>
        <w:rPr/>
      </w:pPr>
      <w:r>
        <w:rPr>
          <w:rStyle w:val="Strong"/>
        </w:rPr>
        <w:t>Isolation with a bridge.</w:t>
      </w:r>
      <w:r>
        <w:rPr/>
        <w:t xml:space="preserve"> Resources sit in a Lightsail-managed VPC, peered to the account's default VPC on request. </w:t>
      </w:r>
    </w:p>
    <w:p>
      <w:pPr>
        <w:pStyle w:val="BodyText"/>
        <w:numPr>
          <w:ilvl w:val="0"/>
          <w:numId w:val="10"/>
        </w:numPr>
        <w:tabs>
          <w:tab w:val="clear" w:pos="1134"/>
          <w:tab w:val="left" w:pos="709" w:leader="none"/>
        </w:tabs>
        <w:bidi w:val="0"/>
        <w:ind w:hanging="283" w:left="709"/>
        <w:rPr/>
      </w:pPr>
      <w:r>
        <w:rPr>
          <w:rStyle w:val="Strong"/>
        </w:rPr>
        <w:t>Automatic snapshots.</w:t>
      </w:r>
      <w:r>
        <w:rPr/>
        <w:t xml:space="preserve"> Scheduled snapshots can be enabled per instance, giving point-in-time recovery without external tooling. </w:t>
      </w:r>
    </w:p>
    <w:p>
      <w:pPr>
        <w:pStyle w:val="Heading3"/>
        <w:bidi w:val="0"/>
        <w:ind w:hanging="0" w:left="0" w:right="0"/>
        <w:jc w:val="left"/>
        <w:rPr/>
      </w:pPr>
      <w:bookmarkStart w:id="33" w:name="72-the-responsibility-that-does-not-tran"/>
      <w:bookmarkEnd w:id="33"/>
      <w:r>
        <w:rPr/>
        <w:t>7.2 The Responsibility That Does Not Transfer</w:t>
      </w:r>
    </w:p>
    <w:p>
      <w:pPr>
        <w:pStyle w:val="BodyText"/>
        <w:bidi w:val="0"/>
        <w:rPr/>
      </w:pPr>
      <w:r>
        <w:rPr/>
        <w:t>The most commonly misunderstood aspect of the service is that a simplified console does not reduce the customer's security obligations. Under the AWS shared responsibility model, AWS secures the cloud infrastructure; the customer secures what runs on it. Because Lightsail grants root access, the customer remains responsible for:</w:t>
      </w:r>
    </w:p>
    <w:p>
      <w:pPr>
        <w:pStyle w:val="BodyText"/>
        <w:numPr>
          <w:ilvl w:val="0"/>
          <w:numId w:val="11"/>
        </w:numPr>
        <w:tabs>
          <w:tab w:val="clear" w:pos="1134"/>
          <w:tab w:val="left" w:pos="709" w:leader="none"/>
        </w:tabs>
        <w:bidi w:val="0"/>
        <w:spacing w:before="0" w:after="0"/>
        <w:ind w:hanging="283" w:left="709"/>
        <w:rPr/>
      </w:pPr>
      <w:r>
        <w:rPr/>
        <w:t xml:space="preserve">patching the operating system; </w:t>
      </w:r>
    </w:p>
    <w:p>
      <w:pPr>
        <w:pStyle w:val="BodyText"/>
        <w:numPr>
          <w:ilvl w:val="0"/>
          <w:numId w:val="11"/>
        </w:numPr>
        <w:tabs>
          <w:tab w:val="clear" w:pos="1134"/>
          <w:tab w:val="left" w:pos="709" w:leader="none"/>
        </w:tabs>
        <w:bidi w:val="0"/>
        <w:spacing w:before="0" w:after="0"/>
        <w:ind w:hanging="283" w:left="709"/>
        <w:rPr/>
      </w:pPr>
      <w:r>
        <w:rPr/>
        <w:t xml:space="preserve">patching the application inside the blueprint — a WordPress instance requires the same update discipline as any other WordPress installation; </w:t>
      </w:r>
    </w:p>
    <w:p>
      <w:pPr>
        <w:pStyle w:val="BodyText"/>
        <w:numPr>
          <w:ilvl w:val="0"/>
          <w:numId w:val="11"/>
        </w:numPr>
        <w:tabs>
          <w:tab w:val="clear" w:pos="1134"/>
          <w:tab w:val="left" w:pos="709" w:leader="none"/>
        </w:tabs>
        <w:bidi w:val="0"/>
        <w:spacing w:before="0" w:after="0"/>
        <w:ind w:hanging="283" w:left="709"/>
        <w:rPr/>
      </w:pPr>
      <w:r>
        <w:rPr/>
        <w:t xml:space="preserve">managing SSH keys and access; and </w:t>
      </w:r>
    </w:p>
    <w:p>
      <w:pPr>
        <w:pStyle w:val="BodyText"/>
        <w:numPr>
          <w:ilvl w:val="0"/>
          <w:numId w:val="11"/>
        </w:numPr>
        <w:tabs>
          <w:tab w:val="clear" w:pos="1134"/>
          <w:tab w:val="left" w:pos="709" w:leader="none"/>
        </w:tabs>
        <w:bidi w:val="0"/>
        <w:ind w:hanging="283" w:left="709"/>
        <w:rPr/>
      </w:pPr>
      <w:r>
        <w:rPr/>
        <w:t xml:space="preserve">configuring the firewall correctly when the defaults are changed. </w:t>
      </w:r>
    </w:p>
    <w:p>
      <w:pPr>
        <w:pStyle w:val="BodyText"/>
        <w:bidi w:val="0"/>
        <w:rPr/>
      </w:pPr>
      <w:r>
        <w:rPr/>
        <w:t>A blueprint is current on the day it is provisioned and ages from that moment. The ease of creating a Lightsail instance makes it correspondingly easy to accumulate unpatched servers, which is a genuine operational risk for exactly the inexperienced users the service targets.</w:t>
      </w:r>
    </w:p>
    <w:p>
      <w:pPr>
        <w:pStyle w:val="HorizontalLine"/>
        <w:bidi w:val="0"/>
        <w:jc w:val="left"/>
        <w:rPr/>
      </w:pPr>
      <w:r>
        <w:rPr/>
      </w:r>
    </w:p>
    <w:p>
      <w:pPr>
        <w:pStyle w:val="Heading2"/>
        <w:bidi w:val="0"/>
        <w:ind w:hanging="0" w:left="0" w:right="0"/>
        <w:jc w:val="left"/>
        <w:rPr/>
      </w:pPr>
      <w:bookmarkStart w:id="34" w:name="8-comparative-analysis"/>
      <w:bookmarkEnd w:id="34"/>
      <w:r>
        <w:rPr/>
        <w:t>8. Comparative Analysis</w:t>
      </w:r>
    </w:p>
    <w:p>
      <w:pPr>
        <w:pStyle w:val="Heading3"/>
        <w:bidi w:val="0"/>
        <w:ind w:hanging="0" w:left="0" w:right="0"/>
        <w:jc w:val="left"/>
        <w:rPr/>
      </w:pPr>
      <w:bookmarkStart w:id="35" w:name="81-lightsail-against-amazon-ec2"/>
      <w:bookmarkEnd w:id="35"/>
      <w:r>
        <w:rPr/>
        <w:t>8.1 Lightsail Against Amazon EC2</w:t>
      </w:r>
    </w:p>
    <w:tbl>
      <w:tblPr>
        <w:tblW w:w="14943" w:type="dxa"/>
        <w:jc w:val="left"/>
        <w:tblInd w:w="0" w:type="dxa"/>
        <w:tblLayout w:type="fixed"/>
        <w:tblCellMar>
          <w:top w:w="28" w:type="dxa"/>
          <w:left w:w="28" w:type="dxa"/>
          <w:bottom w:w="28" w:type="dxa"/>
          <w:right w:w="28" w:type="dxa"/>
        </w:tblCellMar>
      </w:tblPr>
      <w:tblGrid>
        <w:gridCol w:w="2761"/>
        <w:gridCol w:w="6436"/>
        <w:gridCol w:w="5746"/>
      </w:tblGrid>
      <w:tr>
        <w:trPr>
          <w:tblHeader w:val="true"/>
        </w:trPr>
        <w:tc>
          <w:tcPr>
            <w:tcW w:w="2761" w:type="dxa"/>
            <w:tcBorders/>
            <w:vAlign w:val="center"/>
          </w:tcPr>
          <w:p>
            <w:pPr>
              <w:pStyle w:val="TableHeading"/>
              <w:suppressLineNumbers/>
              <w:shd w:fill="232F3E" w:val="clear"/>
              <w:bidi w:val="0"/>
              <w:spacing w:before="0" w:after="170"/>
              <w:jc w:val="left"/>
              <w:rPr/>
            </w:pPr>
            <w:r>
              <w:rPr/>
              <w:t>Dimension</w:t>
            </w:r>
          </w:p>
        </w:tc>
        <w:tc>
          <w:tcPr>
            <w:tcW w:w="6436" w:type="dxa"/>
            <w:tcBorders/>
            <w:vAlign w:val="center"/>
          </w:tcPr>
          <w:p>
            <w:pPr>
              <w:pStyle w:val="TableHeading"/>
              <w:suppressLineNumbers/>
              <w:shd w:fill="232F3E" w:val="clear"/>
              <w:bidi w:val="0"/>
              <w:spacing w:before="0" w:after="170"/>
              <w:jc w:val="left"/>
              <w:rPr/>
            </w:pPr>
            <w:r>
              <w:rPr/>
              <w:t>Amazon Lightsail</w:t>
            </w:r>
          </w:p>
        </w:tc>
        <w:tc>
          <w:tcPr>
            <w:tcW w:w="5746" w:type="dxa"/>
            <w:tcBorders/>
            <w:vAlign w:val="center"/>
          </w:tcPr>
          <w:p>
            <w:pPr>
              <w:pStyle w:val="TableHeading"/>
              <w:suppressLineNumbers/>
              <w:shd w:fill="232F3E" w:val="clear"/>
              <w:bidi w:val="0"/>
              <w:spacing w:before="0" w:after="170"/>
              <w:jc w:val="left"/>
              <w:rPr/>
            </w:pPr>
            <w:r>
              <w:rPr/>
              <w:t>Amazon EC2</w:t>
            </w:r>
          </w:p>
        </w:tc>
      </w:tr>
      <w:tr>
        <w:trPr/>
        <w:tc>
          <w:tcPr>
            <w:tcW w:w="2761" w:type="dxa"/>
            <w:tcBorders/>
            <w:vAlign w:val="center"/>
          </w:tcPr>
          <w:p>
            <w:pPr>
              <w:pStyle w:val="TableContents"/>
              <w:bidi w:val="0"/>
              <w:spacing w:before="0" w:after="170"/>
              <w:rPr/>
            </w:pPr>
            <w:r>
              <w:rPr/>
              <w:t>Pricing model</w:t>
            </w:r>
          </w:p>
        </w:tc>
        <w:tc>
          <w:tcPr>
            <w:tcW w:w="6436" w:type="dxa"/>
            <w:tcBorders/>
            <w:vAlign w:val="center"/>
          </w:tcPr>
          <w:p>
            <w:pPr>
              <w:pStyle w:val="TableContents"/>
              <w:bidi w:val="0"/>
              <w:spacing w:before="0" w:after="170"/>
              <w:rPr/>
            </w:pPr>
            <w:r>
              <w:rPr/>
              <w:t>Fixed monthly bundle, allowance included</w:t>
            </w:r>
          </w:p>
        </w:tc>
        <w:tc>
          <w:tcPr>
            <w:tcW w:w="5746" w:type="dxa"/>
            <w:tcBorders/>
            <w:vAlign w:val="center"/>
          </w:tcPr>
          <w:p>
            <w:pPr>
              <w:pStyle w:val="TableContents"/>
              <w:bidi w:val="0"/>
              <w:spacing w:before="0" w:after="170"/>
              <w:rPr/>
            </w:pPr>
            <w:r>
              <w:rPr/>
              <w:t>Per-second metering across four separate meters</w:t>
            </w:r>
          </w:p>
        </w:tc>
      </w:tr>
      <w:tr>
        <w:trPr/>
        <w:tc>
          <w:tcPr>
            <w:tcW w:w="2761" w:type="dxa"/>
            <w:tcBorders/>
            <w:vAlign w:val="center"/>
          </w:tcPr>
          <w:p>
            <w:pPr>
              <w:pStyle w:val="TableContents"/>
              <w:bidi w:val="0"/>
              <w:spacing w:before="0" w:after="170"/>
              <w:rPr/>
            </w:pPr>
            <w:r>
              <w:rPr/>
              <w:t>Choice of hardware</w:t>
            </w:r>
          </w:p>
        </w:tc>
        <w:tc>
          <w:tcPr>
            <w:tcW w:w="6436" w:type="dxa"/>
            <w:tcBorders/>
            <w:vAlign w:val="center"/>
          </w:tcPr>
          <w:p>
            <w:pPr>
              <w:pStyle w:val="TableContents"/>
              <w:bidi w:val="0"/>
              <w:spacing w:before="0" w:after="170"/>
              <w:rPr/>
            </w:pPr>
            <w:r>
              <w:rPr/>
              <w:t>Eight general-purpose bundles plus two specialised families</w:t>
            </w:r>
          </w:p>
        </w:tc>
        <w:tc>
          <w:tcPr>
            <w:tcW w:w="5746" w:type="dxa"/>
            <w:tcBorders/>
            <w:vAlign w:val="center"/>
          </w:tcPr>
          <w:p>
            <w:pPr>
              <w:pStyle w:val="TableContents"/>
              <w:bidi w:val="0"/>
              <w:spacing w:before="0" w:after="170"/>
              <w:rPr/>
            </w:pPr>
            <w:r>
              <w:rPr/>
              <w:t>More than 750 instance types</w:t>
            </w:r>
          </w:p>
        </w:tc>
      </w:tr>
      <w:tr>
        <w:trPr/>
        <w:tc>
          <w:tcPr>
            <w:tcW w:w="2761" w:type="dxa"/>
            <w:tcBorders/>
            <w:vAlign w:val="center"/>
          </w:tcPr>
          <w:p>
            <w:pPr>
              <w:pStyle w:val="TableContents"/>
              <w:bidi w:val="0"/>
              <w:spacing w:before="0" w:after="170"/>
              <w:rPr/>
            </w:pPr>
            <w:r>
              <w:rPr/>
              <w:t>Maximum single instance</w:t>
            </w:r>
          </w:p>
        </w:tc>
        <w:tc>
          <w:tcPr>
            <w:tcW w:w="6436" w:type="dxa"/>
            <w:tcBorders/>
            <w:vAlign w:val="center"/>
          </w:tcPr>
          <w:p>
            <w:pPr>
              <w:pStyle w:val="TableContents"/>
              <w:bidi w:val="0"/>
              <w:spacing w:before="0" w:after="170"/>
              <w:rPr/>
            </w:pPr>
            <w:r>
              <w:rPr/>
              <w:t>64 GB / 16 vCPU general purpose; 512 GB memory optimised</w:t>
            </w:r>
          </w:p>
        </w:tc>
        <w:tc>
          <w:tcPr>
            <w:tcW w:w="5746" w:type="dxa"/>
            <w:tcBorders/>
            <w:vAlign w:val="center"/>
          </w:tcPr>
          <w:p>
            <w:pPr>
              <w:pStyle w:val="TableContents"/>
              <w:bidi w:val="0"/>
              <w:spacing w:before="0" w:after="170"/>
              <w:rPr/>
            </w:pPr>
            <w:r>
              <w:rPr/>
              <w:t>Up to 448 vCPU and 12,288 GB of memory</w:t>
            </w:r>
          </w:p>
        </w:tc>
      </w:tr>
      <w:tr>
        <w:trPr/>
        <w:tc>
          <w:tcPr>
            <w:tcW w:w="2761" w:type="dxa"/>
            <w:tcBorders/>
            <w:vAlign w:val="center"/>
          </w:tcPr>
          <w:p>
            <w:pPr>
              <w:pStyle w:val="TableContents"/>
              <w:bidi w:val="0"/>
              <w:spacing w:before="0" w:after="170"/>
              <w:rPr/>
            </w:pPr>
            <w:r>
              <w:rPr/>
              <w:t>Networking</w:t>
            </w:r>
          </w:p>
        </w:tc>
        <w:tc>
          <w:tcPr>
            <w:tcW w:w="6436" w:type="dxa"/>
            <w:tcBorders/>
            <w:vAlign w:val="center"/>
          </w:tcPr>
          <w:p>
            <w:pPr>
              <w:pStyle w:val="TableContents"/>
              <w:bidi w:val="0"/>
              <w:spacing w:before="0" w:after="170"/>
              <w:rPr/>
            </w:pPr>
            <w:r>
              <w:rPr/>
              <w:t>Lightsail-managed VPC; peering to the default VPC</w:t>
            </w:r>
          </w:p>
        </w:tc>
        <w:tc>
          <w:tcPr>
            <w:tcW w:w="5746" w:type="dxa"/>
            <w:tcBorders/>
            <w:vAlign w:val="center"/>
          </w:tcPr>
          <w:p>
            <w:pPr>
              <w:pStyle w:val="TableContents"/>
              <w:bidi w:val="0"/>
              <w:spacing w:before="0" w:after="170"/>
              <w:rPr/>
            </w:pPr>
            <w:r>
              <w:rPr/>
              <w:t>Full VPC design: subnets, route tables, NAT, gateways</w:t>
            </w:r>
          </w:p>
        </w:tc>
      </w:tr>
      <w:tr>
        <w:trPr/>
        <w:tc>
          <w:tcPr>
            <w:tcW w:w="2761" w:type="dxa"/>
            <w:tcBorders/>
            <w:vAlign w:val="center"/>
          </w:tcPr>
          <w:p>
            <w:pPr>
              <w:pStyle w:val="TableContents"/>
              <w:bidi w:val="0"/>
              <w:spacing w:before="0" w:after="170"/>
              <w:rPr/>
            </w:pPr>
            <w:r>
              <w:rPr/>
              <w:t>Automatic scaling</w:t>
            </w:r>
          </w:p>
        </w:tc>
        <w:tc>
          <w:tcPr>
            <w:tcW w:w="6436" w:type="dxa"/>
            <w:tcBorders/>
            <w:vAlign w:val="center"/>
          </w:tcPr>
          <w:p>
            <w:pPr>
              <w:pStyle w:val="TableContents"/>
              <w:bidi w:val="0"/>
              <w:spacing w:before="0" w:after="170"/>
              <w:rPr/>
            </w:pPr>
            <w:r>
              <w:rPr/>
              <w:t>Not available for instances; containers scale by node count</w:t>
            </w:r>
          </w:p>
        </w:tc>
        <w:tc>
          <w:tcPr>
            <w:tcW w:w="5746" w:type="dxa"/>
            <w:tcBorders/>
            <w:vAlign w:val="center"/>
          </w:tcPr>
          <w:p>
            <w:pPr>
              <w:pStyle w:val="TableContents"/>
              <w:bidi w:val="0"/>
              <w:spacing w:before="0" w:after="170"/>
              <w:rPr/>
            </w:pPr>
            <w:r>
              <w:rPr/>
              <w:t>EC2 Auto Scaling groups with policies and schedules</w:t>
            </w:r>
          </w:p>
        </w:tc>
      </w:tr>
      <w:tr>
        <w:trPr/>
        <w:tc>
          <w:tcPr>
            <w:tcW w:w="2761" w:type="dxa"/>
            <w:tcBorders/>
            <w:vAlign w:val="center"/>
          </w:tcPr>
          <w:p>
            <w:pPr>
              <w:pStyle w:val="TableContents"/>
              <w:bidi w:val="0"/>
              <w:spacing w:before="0" w:after="170"/>
              <w:rPr/>
            </w:pPr>
            <w:r>
              <w:rPr/>
              <w:t>Discount instruments</w:t>
            </w:r>
          </w:p>
        </w:tc>
        <w:tc>
          <w:tcPr>
            <w:tcW w:w="6436" w:type="dxa"/>
            <w:tcBorders/>
            <w:vAlign w:val="center"/>
          </w:tcPr>
          <w:p>
            <w:pPr>
              <w:pStyle w:val="TableContents"/>
              <w:bidi w:val="0"/>
              <w:spacing w:before="0" w:after="170"/>
              <w:rPr/>
            </w:pPr>
            <w:r>
              <w:rPr/>
              <w:t>None — the list price is the price</w:t>
            </w:r>
          </w:p>
        </w:tc>
        <w:tc>
          <w:tcPr>
            <w:tcW w:w="5746" w:type="dxa"/>
            <w:tcBorders/>
            <w:vAlign w:val="center"/>
          </w:tcPr>
          <w:p>
            <w:pPr>
              <w:pStyle w:val="TableContents"/>
              <w:bidi w:val="0"/>
              <w:spacing w:before="0" w:after="170"/>
              <w:rPr/>
            </w:pPr>
            <w:r>
              <w:rPr/>
              <w:t>Reserved Instances, Savings Plans, Spot</w:t>
            </w:r>
          </w:p>
        </w:tc>
      </w:tr>
      <w:tr>
        <w:trPr/>
        <w:tc>
          <w:tcPr>
            <w:tcW w:w="2761" w:type="dxa"/>
            <w:tcBorders/>
            <w:vAlign w:val="center"/>
          </w:tcPr>
          <w:p>
            <w:pPr>
              <w:pStyle w:val="TableContents"/>
              <w:bidi w:val="0"/>
              <w:spacing w:before="0" w:after="170"/>
              <w:rPr/>
            </w:pPr>
            <w:r>
              <w:rPr/>
              <w:t>Access control</w:t>
            </w:r>
          </w:p>
        </w:tc>
        <w:tc>
          <w:tcPr>
            <w:tcW w:w="6436" w:type="dxa"/>
            <w:tcBorders/>
            <w:vAlign w:val="center"/>
          </w:tcPr>
          <w:p>
            <w:pPr>
              <w:pStyle w:val="TableContents"/>
              <w:bidi w:val="0"/>
              <w:spacing w:before="0" w:after="170"/>
              <w:rPr/>
            </w:pPr>
            <w:r>
              <w:rPr/>
              <w:t>Coarse; Lightsail-level permissions</w:t>
            </w:r>
          </w:p>
        </w:tc>
        <w:tc>
          <w:tcPr>
            <w:tcW w:w="5746" w:type="dxa"/>
            <w:tcBorders/>
            <w:vAlign w:val="center"/>
          </w:tcPr>
          <w:p>
            <w:pPr>
              <w:pStyle w:val="TableContents"/>
              <w:bidi w:val="0"/>
              <w:spacing w:before="0" w:after="170"/>
              <w:rPr/>
            </w:pPr>
            <w:r>
              <w:rPr/>
              <w:t>Full IAM, resource policies, service control policies</w:t>
            </w:r>
          </w:p>
        </w:tc>
      </w:tr>
      <w:tr>
        <w:trPr/>
        <w:tc>
          <w:tcPr>
            <w:tcW w:w="2761" w:type="dxa"/>
            <w:tcBorders/>
            <w:vAlign w:val="center"/>
          </w:tcPr>
          <w:p>
            <w:pPr>
              <w:pStyle w:val="TableContents"/>
              <w:bidi w:val="0"/>
              <w:spacing w:before="0" w:after="170"/>
              <w:rPr/>
            </w:pPr>
            <w:r>
              <w:rPr/>
              <w:t>Monitoring</w:t>
            </w:r>
          </w:p>
        </w:tc>
        <w:tc>
          <w:tcPr>
            <w:tcW w:w="6436" w:type="dxa"/>
            <w:tcBorders/>
            <w:vAlign w:val="center"/>
          </w:tcPr>
          <w:p>
            <w:pPr>
              <w:pStyle w:val="TableContents"/>
              <w:bidi w:val="0"/>
              <w:spacing w:before="0" w:after="170"/>
              <w:rPr/>
            </w:pPr>
            <w:r>
              <w:rPr/>
              <w:t>Built-in metrics and alarms, simplified</w:t>
            </w:r>
          </w:p>
        </w:tc>
        <w:tc>
          <w:tcPr>
            <w:tcW w:w="5746" w:type="dxa"/>
            <w:tcBorders/>
            <w:vAlign w:val="center"/>
          </w:tcPr>
          <w:p>
            <w:pPr>
              <w:pStyle w:val="TableContents"/>
              <w:bidi w:val="0"/>
              <w:spacing w:before="0" w:after="170"/>
              <w:rPr/>
            </w:pPr>
            <w:r>
              <w:rPr/>
              <w:t>Full CloudWatch, custom metrics, detailed monitoring</w:t>
            </w:r>
          </w:p>
        </w:tc>
      </w:tr>
      <w:tr>
        <w:trPr/>
        <w:tc>
          <w:tcPr>
            <w:tcW w:w="2761" w:type="dxa"/>
            <w:tcBorders/>
            <w:vAlign w:val="center"/>
          </w:tcPr>
          <w:p>
            <w:pPr>
              <w:pStyle w:val="TableContents"/>
              <w:bidi w:val="0"/>
              <w:spacing w:before="0" w:after="170"/>
              <w:rPr/>
            </w:pPr>
            <w:r>
              <w:rPr/>
              <w:t>Time to first server</w:t>
            </w:r>
          </w:p>
        </w:tc>
        <w:tc>
          <w:tcPr>
            <w:tcW w:w="6436" w:type="dxa"/>
            <w:tcBorders/>
            <w:vAlign w:val="center"/>
          </w:tcPr>
          <w:p>
            <w:pPr>
              <w:pStyle w:val="TableContents"/>
              <w:bidi w:val="0"/>
              <w:spacing w:before="0" w:after="170"/>
              <w:rPr/>
            </w:pPr>
            <w:r>
              <w:rPr/>
              <w:t>Minutes, from a menu</w:t>
            </w:r>
          </w:p>
        </w:tc>
        <w:tc>
          <w:tcPr>
            <w:tcW w:w="5746" w:type="dxa"/>
            <w:tcBorders/>
            <w:vAlign w:val="center"/>
          </w:tcPr>
          <w:p>
            <w:pPr>
              <w:pStyle w:val="TableContents"/>
              <w:bidi w:val="0"/>
              <w:spacing w:before="0" w:after="170"/>
              <w:rPr/>
            </w:pPr>
            <w:r>
              <w:rPr/>
              <w:t>Longer; several dependent resources must exist first</w:t>
            </w:r>
          </w:p>
        </w:tc>
      </w:tr>
      <w:tr>
        <w:trPr/>
        <w:tc>
          <w:tcPr>
            <w:tcW w:w="2761" w:type="dxa"/>
            <w:tcBorders/>
            <w:vAlign w:val="center"/>
          </w:tcPr>
          <w:p>
            <w:pPr>
              <w:pStyle w:val="TableContents"/>
              <w:bidi w:val="0"/>
              <w:spacing w:before="0" w:after="170"/>
              <w:rPr/>
            </w:pPr>
            <w:r>
              <w:rPr/>
              <w:t>Best fit</w:t>
            </w:r>
          </w:p>
        </w:tc>
        <w:tc>
          <w:tcPr>
            <w:tcW w:w="6436" w:type="dxa"/>
            <w:tcBorders/>
            <w:vAlign w:val="center"/>
          </w:tcPr>
          <w:p>
            <w:pPr>
              <w:pStyle w:val="TableContents"/>
              <w:bidi w:val="0"/>
              <w:spacing w:before="0" w:after="170"/>
              <w:rPr/>
            </w:pPr>
            <w:r>
              <w:rPr/>
              <w:t>Predictable small workloads, fast delivery, cost certainty</w:t>
            </w:r>
          </w:p>
        </w:tc>
        <w:tc>
          <w:tcPr>
            <w:tcW w:w="5746" w:type="dxa"/>
            <w:tcBorders/>
            <w:vAlign w:val="center"/>
          </w:tcPr>
          <w:p>
            <w:pPr>
              <w:pStyle w:val="TableContents"/>
              <w:bidi w:val="0"/>
              <w:spacing w:before="0" w:after="170"/>
              <w:rPr/>
            </w:pPr>
            <w:r>
              <w:rPr/>
              <w:t>Elastic, large or compliance-heavy architectures</w:t>
            </w:r>
          </w:p>
        </w:tc>
      </w:tr>
    </w:tbl>
    <w:p>
      <w:pPr>
        <w:pStyle w:val="BodyText"/>
        <w:bidi w:val="0"/>
        <w:rPr/>
      </w:pPr>
      <w:r>
        <w:rPr/>
        <w:t>The two services are complements rather than competitors. Lightsail is the on-ramp; EC2 is the motorway. The snapshot export exists specifically so that the journey between them is inexpensive.</w:t>
      </w:r>
    </w:p>
    <w:p>
      <w:pPr>
        <w:pStyle w:val="Heading3"/>
        <w:bidi w:val="0"/>
        <w:ind w:hanging="0" w:left="0" w:right="0"/>
        <w:jc w:val="left"/>
        <w:rPr/>
      </w:pPr>
      <w:bookmarkStart w:id="36" w:name="82-lightsail-against-the-wider-market"/>
      <w:bookmarkEnd w:id="36"/>
      <w:r>
        <w:rPr/>
        <w:t>8.2 Lightsail Against the Wider Market</w:t>
      </w:r>
    </w:p>
    <w:p>
      <w:pPr>
        <w:pStyle w:val="BodyText"/>
        <w:bidi w:val="0"/>
        <w:rPr/>
      </w:pPr>
      <w:r>
        <w:rPr/>
        <w:t>Indicative entry pricing, August 2026. Figures are list prices and vary by region.</w:t>
      </w:r>
    </w:p>
    <w:tbl>
      <w:tblPr>
        <w:tblW w:w="20810" w:type="dxa"/>
        <w:jc w:val="left"/>
        <w:tblInd w:w="0" w:type="dxa"/>
        <w:tblLayout w:type="fixed"/>
        <w:tblCellMar>
          <w:top w:w="28" w:type="dxa"/>
          <w:left w:w="28" w:type="dxa"/>
          <w:bottom w:w="28" w:type="dxa"/>
          <w:right w:w="28" w:type="dxa"/>
        </w:tblCellMar>
      </w:tblPr>
      <w:tblGrid>
        <w:gridCol w:w="2641"/>
        <w:gridCol w:w="4096"/>
        <w:gridCol w:w="2851"/>
        <w:gridCol w:w="6511"/>
        <w:gridCol w:w="4711"/>
      </w:tblGrid>
      <w:tr>
        <w:trPr>
          <w:tblHeader w:val="true"/>
        </w:trPr>
        <w:tc>
          <w:tcPr>
            <w:tcW w:w="2641" w:type="dxa"/>
            <w:tcBorders/>
            <w:vAlign w:val="center"/>
          </w:tcPr>
          <w:p>
            <w:pPr>
              <w:pStyle w:val="TableHeading"/>
              <w:suppressLineNumbers/>
              <w:shd w:fill="232F3E" w:val="clear"/>
              <w:bidi w:val="0"/>
              <w:spacing w:before="0" w:after="170"/>
              <w:jc w:val="left"/>
              <w:rPr/>
            </w:pPr>
            <w:r>
              <w:rPr/>
              <w:t>Platform</w:t>
            </w:r>
          </w:p>
        </w:tc>
        <w:tc>
          <w:tcPr>
            <w:tcW w:w="4096" w:type="dxa"/>
            <w:tcBorders/>
            <w:vAlign w:val="center"/>
          </w:tcPr>
          <w:p>
            <w:pPr>
              <w:pStyle w:val="TableHeading"/>
              <w:suppressLineNumbers/>
              <w:shd w:fill="232F3E" w:val="clear"/>
              <w:bidi w:val="0"/>
              <w:spacing w:before="0" w:after="170"/>
              <w:jc w:val="left"/>
              <w:rPr/>
            </w:pPr>
            <w:r>
              <w:rPr/>
              <w:t>Entry price</w:t>
            </w:r>
          </w:p>
        </w:tc>
        <w:tc>
          <w:tcPr>
            <w:tcW w:w="2851" w:type="dxa"/>
            <w:tcBorders/>
            <w:vAlign w:val="center"/>
          </w:tcPr>
          <w:p>
            <w:pPr>
              <w:pStyle w:val="TableHeading"/>
              <w:suppressLineNumbers/>
              <w:shd w:fill="232F3E" w:val="clear"/>
              <w:bidi w:val="0"/>
              <w:spacing w:before="0" w:after="170"/>
              <w:jc w:val="left"/>
              <w:rPr/>
            </w:pPr>
            <w:r>
              <w:rPr/>
              <w:t>Customer still manages</w:t>
            </w:r>
          </w:p>
        </w:tc>
        <w:tc>
          <w:tcPr>
            <w:tcW w:w="6511" w:type="dxa"/>
            <w:tcBorders/>
            <w:vAlign w:val="center"/>
          </w:tcPr>
          <w:p>
            <w:pPr>
              <w:pStyle w:val="TableHeading"/>
              <w:suppressLineNumbers/>
              <w:shd w:fill="232F3E" w:val="clear"/>
              <w:bidi w:val="0"/>
              <w:spacing w:before="0" w:after="170"/>
              <w:jc w:val="left"/>
              <w:rPr/>
            </w:pPr>
            <w:r>
              <w:rPr/>
              <w:t>Distinguishing strength</w:t>
            </w:r>
          </w:p>
        </w:tc>
        <w:tc>
          <w:tcPr>
            <w:tcW w:w="4711" w:type="dxa"/>
            <w:tcBorders/>
            <w:vAlign w:val="center"/>
          </w:tcPr>
          <w:p>
            <w:pPr>
              <w:pStyle w:val="TableHeading"/>
              <w:suppressLineNumbers/>
              <w:shd w:fill="232F3E" w:val="clear"/>
              <w:bidi w:val="0"/>
              <w:spacing w:before="0" w:after="170"/>
              <w:jc w:val="left"/>
              <w:rPr/>
            </w:pPr>
            <w:r>
              <w:rPr/>
              <w:t>Principal watch-out</w:t>
            </w:r>
          </w:p>
        </w:tc>
      </w:tr>
      <w:tr>
        <w:trPr/>
        <w:tc>
          <w:tcPr>
            <w:tcW w:w="2641" w:type="dxa"/>
            <w:tcBorders/>
            <w:vAlign w:val="center"/>
          </w:tcPr>
          <w:p>
            <w:pPr>
              <w:pStyle w:val="TableContents"/>
              <w:bidi w:val="0"/>
              <w:spacing w:before="0" w:after="170"/>
              <w:rPr/>
            </w:pPr>
            <w:r>
              <w:rPr/>
              <w:t>Amazon Lightsail</w:t>
            </w:r>
          </w:p>
        </w:tc>
        <w:tc>
          <w:tcPr>
            <w:tcW w:w="4096" w:type="dxa"/>
            <w:tcBorders/>
            <w:vAlign w:val="center"/>
          </w:tcPr>
          <w:p>
            <w:pPr>
              <w:pStyle w:val="TableContents"/>
              <w:bidi w:val="0"/>
              <w:spacing w:before="0" w:after="170"/>
              <w:rPr/>
            </w:pPr>
            <w:r>
              <w:rPr/>
              <w:t>$5 / month (nano, dual-stack)</w:t>
            </w:r>
          </w:p>
        </w:tc>
        <w:tc>
          <w:tcPr>
            <w:tcW w:w="2851" w:type="dxa"/>
            <w:tcBorders/>
            <w:vAlign w:val="center"/>
          </w:tcPr>
          <w:p>
            <w:pPr>
              <w:pStyle w:val="TableContents"/>
              <w:bidi w:val="0"/>
              <w:spacing w:before="0" w:after="170"/>
              <w:rPr/>
            </w:pPr>
            <w:r>
              <w:rPr/>
              <w:t>OS and application</w:t>
            </w:r>
          </w:p>
        </w:tc>
        <w:tc>
          <w:tcPr>
            <w:tcW w:w="6511" w:type="dxa"/>
            <w:tcBorders/>
            <w:vAlign w:val="center"/>
          </w:tcPr>
          <w:p>
            <w:pPr>
              <w:pStyle w:val="TableContents"/>
              <w:bidi w:val="0"/>
              <w:spacing w:before="0" w:after="170"/>
              <w:rPr/>
            </w:pPr>
            <w:r>
              <w:rPr/>
              <w:t>Generous transfer allowance; documented path onto full AWS</w:t>
            </w:r>
          </w:p>
        </w:tc>
        <w:tc>
          <w:tcPr>
            <w:tcW w:w="4711" w:type="dxa"/>
            <w:tcBorders/>
            <w:vAlign w:val="center"/>
          </w:tcPr>
          <w:p>
            <w:pPr>
              <w:pStyle w:val="TableContents"/>
              <w:bidi w:val="0"/>
              <w:spacing w:before="0" w:after="170"/>
              <w:rPr/>
            </w:pPr>
            <w:r>
              <w:rPr/>
              <w:t>Not available in every Region; coarse IAM</w:t>
            </w:r>
          </w:p>
        </w:tc>
      </w:tr>
      <w:tr>
        <w:trPr/>
        <w:tc>
          <w:tcPr>
            <w:tcW w:w="2641" w:type="dxa"/>
            <w:tcBorders/>
            <w:vAlign w:val="center"/>
          </w:tcPr>
          <w:p>
            <w:pPr>
              <w:pStyle w:val="TableContents"/>
              <w:bidi w:val="0"/>
              <w:spacing w:before="0" w:after="170"/>
              <w:rPr/>
            </w:pPr>
            <w:r>
              <w:rPr/>
              <w:t>DigitalOcean Droplet</w:t>
            </w:r>
          </w:p>
        </w:tc>
        <w:tc>
          <w:tcPr>
            <w:tcW w:w="4096" w:type="dxa"/>
            <w:tcBorders/>
            <w:vAlign w:val="center"/>
          </w:tcPr>
          <w:p>
            <w:pPr>
              <w:pStyle w:val="TableContents"/>
              <w:bidi w:val="0"/>
              <w:spacing w:before="0" w:after="170"/>
              <w:rPr/>
            </w:pPr>
            <w:r>
              <w:rPr/>
              <w:t>$4 / month (512 MB); $6 practical floor</w:t>
            </w:r>
          </w:p>
        </w:tc>
        <w:tc>
          <w:tcPr>
            <w:tcW w:w="2851" w:type="dxa"/>
            <w:tcBorders/>
            <w:vAlign w:val="center"/>
          </w:tcPr>
          <w:p>
            <w:pPr>
              <w:pStyle w:val="TableContents"/>
              <w:bidi w:val="0"/>
              <w:spacing w:before="0" w:after="170"/>
              <w:rPr/>
            </w:pPr>
            <w:r>
              <w:rPr/>
              <w:t>OS and application</w:t>
            </w:r>
          </w:p>
        </w:tc>
        <w:tc>
          <w:tcPr>
            <w:tcW w:w="6511" w:type="dxa"/>
            <w:tcBorders/>
            <w:vAlign w:val="center"/>
          </w:tcPr>
          <w:p>
            <w:pPr>
              <w:pStyle w:val="TableContents"/>
              <w:bidi w:val="0"/>
              <w:spacing w:before="0" w:after="170"/>
              <w:rPr/>
            </w:pPr>
            <w:r>
              <w:rPr/>
              <w:t>Clean developer experience and documentation</w:t>
            </w:r>
          </w:p>
        </w:tc>
        <w:tc>
          <w:tcPr>
            <w:tcW w:w="4711" w:type="dxa"/>
            <w:tcBorders/>
            <w:vAlign w:val="center"/>
          </w:tcPr>
          <w:p>
            <w:pPr>
              <w:pStyle w:val="TableContents"/>
              <w:bidi w:val="0"/>
              <w:spacing w:before="0" w:after="170"/>
              <w:rPr/>
            </w:pPr>
            <w:r>
              <w:rPr/>
              <w:t>Smaller managed-service portfolio</w:t>
            </w:r>
          </w:p>
        </w:tc>
      </w:tr>
      <w:tr>
        <w:trPr/>
        <w:tc>
          <w:tcPr>
            <w:tcW w:w="2641" w:type="dxa"/>
            <w:tcBorders/>
            <w:vAlign w:val="center"/>
          </w:tcPr>
          <w:p>
            <w:pPr>
              <w:pStyle w:val="TableContents"/>
              <w:bidi w:val="0"/>
              <w:spacing w:before="0" w:after="170"/>
              <w:rPr/>
            </w:pPr>
            <w:r>
              <w:rPr/>
              <w:t>Linode / Akamai Nanode</w:t>
            </w:r>
          </w:p>
        </w:tc>
        <w:tc>
          <w:tcPr>
            <w:tcW w:w="4096" w:type="dxa"/>
            <w:tcBorders/>
            <w:vAlign w:val="center"/>
          </w:tcPr>
          <w:p>
            <w:pPr>
              <w:pStyle w:val="TableContents"/>
              <w:bidi w:val="0"/>
              <w:spacing w:before="0" w:after="170"/>
              <w:rPr/>
            </w:pPr>
            <w:r>
              <w:rPr/>
              <w:t>$5 / month (1 GB, 25 GB SSD, 1 TB)</w:t>
            </w:r>
          </w:p>
        </w:tc>
        <w:tc>
          <w:tcPr>
            <w:tcW w:w="2851" w:type="dxa"/>
            <w:tcBorders/>
            <w:vAlign w:val="center"/>
          </w:tcPr>
          <w:p>
            <w:pPr>
              <w:pStyle w:val="TableContents"/>
              <w:bidi w:val="0"/>
              <w:spacing w:before="0" w:after="170"/>
              <w:rPr/>
            </w:pPr>
            <w:r>
              <w:rPr/>
              <w:t>OS and application</w:t>
            </w:r>
          </w:p>
        </w:tc>
        <w:tc>
          <w:tcPr>
            <w:tcW w:w="6511" w:type="dxa"/>
            <w:tcBorders/>
            <w:vAlign w:val="center"/>
          </w:tcPr>
          <w:p>
            <w:pPr>
              <w:pStyle w:val="TableContents"/>
              <w:bidi w:val="0"/>
              <w:spacing w:before="0" w:after="170"/>
              <w:rPr/>
            </w:pPr>
            <w:r>
              <w:rPr/>
              <w:t>Strong price-to-memory ratio at the entry tier</w:t>
            </w:r>
          </w:p>
        </w:tc>
        <w:tc>
          <w:tcPr>
            <w:tcW w:w="4711" w:type="dxa"/>
            <w:tcBorders/>
            <w:vAlign w:val="center"/>
          </w:tcPr>
          <w:p>
            <w:pPr>
              <w:pStyle w:val="TableContents"/>
              <w:bidi w:val="0"/>
              <w:spacing w:before="0" w:after="170"/>
              <w:rPr/>
            </w:pPr>
            <w:r>
              <w:rPr/>
              <w:t>Ecosystem narrower than AWS</w:t>
            </w:r>
          </w:p>
        </w:tc>
      </w:tr>
      <w:tr>
        <w:trPr/>
        <w:tc>
          <w:tcPr>
            <w:tcW w:w="2641" w:type="dxa"/>
            <w:tcBorders/>
            <w:vAlign w:val="center"/>
          </w:tcPr>
          <w:p>
            <w:pPr>
              <w:pStyle w:val="TableContents"/>
              <w:bidi w:val="0"/>
              <w:spacing w:before="0" w:after="170"/>
              <w:rPr/>
            </w:pPr>
            <w:r>
              <w:rPr/>
              <w:t>Heroku dyno</w:t>
            </w:r>
          </w:p>
        </w:tc>
        <w:tc>
          <w:tcPr>
            <w:tcW w:w="4096" w:type="dxa"/>
            <w:tcBorders/>
            <w:vAlign w:val="center"/>
          </w:tcPr>
          <w:p>
            <w:pPr>
              <w:pStyle w:val="TableContents"/>
              <w:bidi w:val="0"/>
              <w:spacing w:before="0" w:after="170"/>
              <w:rPr/>
            </w:pPr>
            <w:r>
              <w:rPr/>
              <w:t>$5 Eco (sleeps) · $7 Basic</w:t>
            </w:r>
          </w:p>
        </w:tc>
        <w:tc>
          <w:tcPr>
            <w:tcW w:w="2851" w:type="dxa"/>
            <w:tcBorders/>
            <w:vAlign w:val="center"/>
          </w:tcPr>
          <w:p>
            <w:pPr>
              <w:pStyle w:val="TableContents"/>
              <w:bidi w:val="0"/>
              <w:spacing w:before="0" w:after="170"/>
              <w:rPr/>
            </w:pPr>
            <w:r>
              <w:rPr/>
              <w:t>Application only</w:t>
            </w:r>
          </w:p>
        </w:tc>
        <w:tc>
          <w:tcPr>
            <w:tcW w:w="6511" w:type="dxa"/>
            <w:tcBorders/>
            <w:vAlign w:val="center"/>
          </w:tcPr>
          <w:p>
            <w:pPr>
              <w:pStyle w:val="TableContents"/>
              <w:bidi w:val="0"/>
              <w:spacing w:before="0" w:after="170"/>
              <w:rPr/>
            </w:pPr>
            <w:r>
              <w:rPr/>
              <w:t>True PaaS — no server to patch</w:t>
            </w:r>
          </w:p>
        </w:tc>
        <w:tc>
          <w:tcPr>
            <w:tcW w:w="4711" w:type="dxa"/>
            <w:tcBorders/>
            <w:vAlign w:val="center"/>
          </w:tcPr>
          <w:p>
            <w:pPr>
              <w:pStyle w:val="TableContents"/>
              <w:bidi w:val="0"/>
              <w:spacing w:before="0" w:after="170"/>
              <w:rPr/>
            </w:pPr>
            <w:r>
              <w:rPr/>
              <w:t>Add-ons billed separately; cost rises steeply</w:t>
            </w:r>
          </w:p>
        </w:tc>
      </w:tr>
      <w:tr>
        <w:trPr/>
        <w:tc>
          <w:tcPr>
            <w:tcW w:w="2641" w:type="dxa"/>
            <w:tcBorders/>
            <w:vAlign w:val="center"/>
          </w:tcPr>
          <w:p>
            <w:pPr>
              <w:pStyle w:val="TableContents"/>
              <w:bidi w:val="0"/>
              <w:spacing w:before="0" w:after="170"/>
              <w:rPr/>
            </w:pPr>
            <w:r>
              <w:rPr/>
              <w:t>Azure App Service</w:t>
            </w:r>
          </w:p>
        </w:tc>
        <w:tc>
          <w:tcPr>
            <w:tcW w:w="4096" w:type="dxa"/>
            <w:tcBorders/>
            <w:vAlign w:val="center"/>
          </w:tcPr>
          <w:p>
            <w:pPr>
              <w:pStyle w:val="TableContents"/>
              <w:bidi w:val="0"/>
              <w:spacing w:before="0" w:after="170"/>
              <w:rPr/>
            </w:pPr>
            <w:r>
              <w:rPr/>
              <w:t>Basic B1 approximately $55 / month</w:t>
            </w:r>
          </w:p>
        </w:tc>
        <w:tc>
          <w:tcPr>
            <w:tcW w:w="2851" w:type="dxa"/>
            <w:tcBorders/>
            <w:vAlign w:val="center"/>
          </w:tcPr>
          <w:p>
            <w:pPr>
              <w:pStyle w:val="TableContents"/>
              <w:bidi w:val="0"/>
              <w:spacing w:before="0" w:after="170"/>
              <w:rPr/>
            </w:pPr>
            <w:r>
              <w:rPr/>
              <w:t>Application only</w:t>
            </w:r>
          </w:p>
        </w:tc>
        <w:tc>
          <w:tcPr>
            <w:tcW w:w="6511" w:type="dxa"/>
            <w:tcBorders/>
            <w:vAlign w:val="center"/>
          </w:tcPr>
          <w:p>
            <w:pPr>
              <w:pStyle w:val="TableContents"/>
              <w:bidi w:val="0"/>
              <w:spacing w:before="0" w:after="170"/>
              <w:rPr/>
            </w:pPr>
            <w:r>
              <w:rPr/>
              <w:t>Deep integration with the Microsoft estate</w:t>
            </w:r>
          </w:p>
        </w:tc>
        <w:tc>
          <w:tcPr>
            <w:tcW w:w="4711" w:type="dxa"/>
            <w:tcBorders/>
            <w:vAlign w:val="center"/>
          </w:tcPr>
          <w:p>
            <w:pPr>
              <w:pStyle w:val="TableContents"/>
              <w:bidi w:val="0"/>
              <w:spacing w:before="0" w:after="170"/>
              <w:rPr/>
            </w:pPr>
            <w:r>
              <w:rPr/>
              <w:t>Substantially higher entry price</w:t>
            </w:r>
          </w:p>
        </w:tc>
      </w:tr>
    </w:tbl>
    <w:p>
      <w:pPr>
        <w:pStyle w:val="BodyText"/>
        <w:bidi w:val="0"/>
        <w:rPr/>
      </w:pPr>
      <w:r>
        <w:rPr>
          <w:rStyle w:val="Strong"/>
        </w:rPr>
        <w:t>Assessment.</w:t>
      </w:r>
      <w:r>
        <w:rPr/>
        <w:t xml:space="preserve"> On raw price per gigabyte of memory, Lightsail is competitive rather than cheapest — DigitalOcean starts lower, and Linode offers more memory at the same $5 tier. Lightsail's advantage lies in two properties a price list does not display:</w:t>
      </w:r>
    </w:p>
    <w:p>
      <w:pPr>
        <w:pStyle w:val="BodyText"/>
        <w:numPr>
          <w:ilvl w:val="0"/>
          <w:numId w:val="12"/>
        </w:numPr>
        <w:tabs>
          <w:tab w:val="clear" w:pos="1134"/>
          <w:tab w:val="left" w:pos="709" w:leader="none"/>
        </w:tabs>
        <w:bidi w:val="0"/>
        <w:spacing w:before="0" w:after="0"/>
        <w:ind w:hanging="283" w:left="709"/>
        <w:rPr/>
      </w:pPr>
      <w:r>
        <w:rPr>
          <w:rStyle w:val="Strong"/>
        </w:rPr>
        <w:t>The included data-transfer allowance</w:t>
      </w:r>
      <w:r>
        <w:rPr/>
        <w:t xml:space="preserve">, which is where independent VPS bills most often break; and </w:t>
      </w:r>
    </w:p>
    <w:p>
      <w:pPr>
        <w:pStyle w:val="BodyText"/>
        <w:numPr>
          <w:ilvl w:val="0"/>
          <w:numId w:val="12"/>
        </w:numPr>
        <w:tabs>
          <w:tab w:val="clear" w:pos="1134"/>
          <w:tab w:val="left" w:pos="709" w:leader="none"/>
        </w:tabs>
        <w:bidi w:val="0"/>
        <w:ind w:hanging="283" w:left="709"/>
        <w:rPr/>
      </w:pPr>
      <w:r>
        <w:rPr>
          <w:rStyle w:val="Strong"/>
        </w:rPr>
        <w:t>The nature of the resource underneath.</w:t>
      </w:r>
      <w:r>
        <w:rPr/>
        <w:t xml:space="preserve"> Because a Lightsail instance is an EC2 instance, outgrowing the service is a migration within a single AWS account rather than a change of vendor. For an organisation that expects to grow, this is a material strategic difference. </w:t>
      </w:r>
    </w:p>
    <w:p>
      <w:pPr>
        <w:pStyle w:val="HorizontalLine"/>
        <w:bidi w:val="0"/>
        <w:jc w:val="left"/>
        <w:rPr/>
      </w:pPr>
      <w:r>
        <w:rPr/>
      </w:r>
    </w:p>
    <w:p>
      <w:pPr>
        <w:pStyle w:val="Heading2"/>
        <w:bidi w:val="0"/>
        <w:ind w:hanging="0" w:left="0" w:right="0"/>
        <w:jc w:val="left"/>
        <w:rPr/>
      </w:pPr>
      <w:bookmarkStart w:id="37" w:name="9-practical-deployment"/>
      <w:bookmarkEnd w:id="37"/>
      <w:r>
        <w:rPr/>
        <w:t>9. Practical Deployment</w:t>
      </w:r>
    </w:p>
    <w:p>
      <w:pPr>
        <w:pStyle w:val="Heading3"/>
        <w:bidi w:val="0"/>
        <w:ind w:hanging="0" w:left="0" w:right="0"/>
        <w:jc w:val="left"/>
        <w:rPr/>
      </w:pPr>
      <w:bookmarkStart w:id="38" w:name="91-console-workflow"/>
      <w:bookmarkEnd w:id="38"/>
      <w:r>
        <w:rPr/>
        <w:t>9.1 Console Workflow</w:t>
      </w:r>
    </w:p>
    <w:p>
      <w:pPr>
        <w:pStyle w:val="BodyText"/>
        <w:bidi w:val="0"/>
        <w:rPr/>
      </w:pPr>
      <w:r>
        <w:rPr/>
        <w:drawing>
          <wp:inline distT="0" distB="0" distL="0" distR="0">
            <wp:extent cx="20317460" cy="8126730"/>
            <wp:effectExtent l="0" t="0" r="0" b="0"/>
            <wp:docPr id="5" name="Image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pic:cNvPicPr>
                      <a:picLocks noChangeAspect="1" noChangeArrowheads="1"/>
                    </pic:cNvPicPr>
                  </pic:nvPicPr>
                  <pic:blipFill>
                    <a:blip r:embed="rId6"/>
                    <a:stretch>
                      <a:fillRect/>
                    </a:stretch>
                  </pic:blipFill>
                  <pic:spPr bwMode="auto">
                    <a:xfrm>
                      <a:off x="0" y="0"/>
                      <a:ext cx="20317460" cy="8126730"/>
                    </a:xfrm>
                    <a:prstGeom prst="rect">
                      <a:avLst/>
                    </a:prstGeom>
                  </pic:spPr>
                </pic:pic>
              </a:graphicData>
            </a:graphic>
          </wp:inline>
        </w:drawing>
      </w:r>
    </w:p>
    <w:p>
      <w:pPr>
        <w:pStyle w:val="BodyTextcaption"/>
        <w:bidi w:val="0"/>
        <w:rPr/>
      </w:pPr>
      <w:r>
        <w:rPr>
          <w:rStyle w:val="Strong"/>
        </w:rPr>
        <w:t>Figure 5</w:t>
      </w:r>
      <w:r>
        <w:rPr/>
        <w:t xml:space="preserve"> — The complete deployment path for a production WordPress site.</w:t>
      </w:r>
    </w:p>
    <w:tbl>
      <w:tblPr>
        <w:tblW w:w="9768" w:type="dxa"/>
        <w:jc w:val="left"/>
        <w:tblInd w:w="0" w:type="dxa"/>
        <w:tblLayout w:type="fixed"/>
        <w:tblCellMar>
          <w:top w:w="28" w:type="dxa"/>
          <w:left w:w="28" w:type="dxa"/>
          <w:bottom w:w="28" w:type="dxa"/>
          <w:right w:w="28" w:type="dxa"/>
        </w:tblCellMar>
      </w:tblPr>
      <w:tblGrid>
        <w:gridCol w:w="661"/>
        <w:gridCol w:w="6856"/>
        <w:gridCol w:w="2251"/>
      </w:tblGrid>
      <w:tr>
        <w:trPr>
          <w:tblHeader w:val="true"/>
        </w:trPr>
        <w:tc>
          <w:tcPr>
            <w:tcW w:w="661" w:type="dxa"/>
            <w:tcBorders/>
            <w:vAlign w:val="center"/>
          </w:tcPr>
          <w:p>
            <w:pPr>
              <w:pStyle w:val="TableHeading"/>
              <w:bidi w:val="0"/>
              <w:spacing w:before="0" w:after="170"/>
              <w:ind w:hanging="0" w:left="0" w:right="0"/>
              <w:jc w:val="right"/>
              <w:rPr/>
            </w:pPr>
            <w:r>
              <w:rPr/>
              <w:t>Step</w:t>
            </w:r>
          </w:p>
        </w:tc>
        <w:tc>
          <w:tcPr>
            <w:tcW w:w="6856" w:type="dxa"/>
            <w:tcBorders/>
            <w:vAlign w:val="center"/>
          </w:tcPr>
          <w:p>
            <w:pPr>
              <w:pStyle w:val="TableHeading"/>
              <w:suppressLineNumbers/>
              <w:shd w:fill="232F3E" w:val="clear"/>
              <w:bidi w:val="0"/>
              <w:spacing w:before="0" w:after="170"/>
              <w:jc w:val="left"/>
              <w:rPr/>
            </w:pPr>
            <w:r>
              <w:rPr/>
              <w:t>Action</w:t>
            </w:r>
          </w:p>
        </w:tc>
        <w:tc>
          <w:tcPr>
            <w:tcW w:w="2251" w:type="dxa"/>
            <w:tcBorders/>
            <w:vAlign w:val="center"/>
          </w:tcPr>
          <w:p>
            <w:pPr>
              <w:pStyle w:val="TableHeading"/>
              <w:bidi w:val="0"/>
              <w:spacing w:before="0" w:after="170"/>
              <w:ind w:hanging="0" w:left="0" w:right="0"/>
              <w:jc w:val="left"/>
              <w:rPr/>
            </w:pPr>
            <w:r>
              <w:rPr/>
              <w:t>Approximate time</w:t>
            </w:r>
          </w:p>
        </w:tc>
      </w:tr>
      <w:tr>
        <w:trPr/>
        <w:tc>
          <w:tcPr>
            <w:tcW w:w="661" w:type="dxa"/>
            <w:tcBorders/>
            <w:vAlign w:val="center"/>
          </w:tcPr>
          <w:p>
            <w:pPr>
              <w:pStyle w:val="TableContents"/>
              <w:bidi w:val="0"/>
              <w:spacing w:before="0" w:after="170"/>
              <w:jc w:val="right"/>
              <w:rPr/>
            </w:pPr>
            <w:r>
              <w:rPr/>
              <w:t>1</w:t>
            </w:r>
          </w:p>
        </w:tc>
        <w:tc>
          <w:tcPr>
            <w:tcW w:w="6856" w:type="dxa"/>
            <w:tcBorders/>
            <w:vAlign w:val="center"/>
          </w:tcPr>
          <w:p>
            <w:pPr>
              <w:pStyle w:val="TableContents"/>
              <w:bidi w:val="0"/>
              <w:spacing w:before="0" w:after="170"/>
              <w:rPr/>
            </w:pPr>
            <w:r>
              <w:rPr/>
              <w:t>Select the WordPress blueprint</w:t>
            </w:r>
          </w:p>
        </w:tc>
        <w:tc>
          <w:tcPr>
            <w:tcW w:w="2251" w:type="dxa"/>
            <w:tcBorders/>
            <w:vAlign w:val="center"/>
          </w:tcPr>
          <w:p>
            <w:pPr>
              <w:pStyle w:val="TableContents"/>
              <w:bidi w:val="0"/>
              <w:spacing w:before="0" w:after="170"/>
              <w:ind w:hanging="0" w:left="0" w:right="0"/>
              <w:rPr/>
            </w:pPr>
            <w:r>
              <w:rPr/>
              <w:t>~10 s</w:t>
            </w:r>
          </w:p>
        </w:tc>
      </w:tr>
      <w:tr>
        <w:trPr/>
        <w:tc>
          <w:tcPr>
            <w:tcW w:w="661" w:type="dxa"/>
            <w:tcBorders/>
            <w:vAlign w:val="center"/>
          </w:tcPr>
          <w:p>
            <w:pPr>
              <w:pStyle w:val="TableContents"/>
              <w:bidi w:val="0"/>
              <w:spacing w:before="0" w:after="170"/>
              <w:jc w:val="right"/>
              <w:rPr/>
            </w:pPr>
            <w:r>
              <w:rPr/>
              <w:t>2</w:t>
            </w:r>
          </w:p>
        </w:tc>
        <w:tc>
          <w:tcPr>
            <w:tcW w:w="6856" w:type="dxa"/>
            <w:tcBorders/>
            <w:vAlign w:val="center"/>
          </w:tcPr>
          <w:p>
            <w:pPr>
              <w:pStyle w:val="TableContents"/>
              <w:bidi w:val="0"/>
              <w:spacing w:before="0" w:after="170"/>
              <w:rPr/>
            </w:pPr>
            <w:r>
              <w:rPr/>
              <w:t>Select a bundle (for example, $12/month — 2 GB, 2 vCPU, 60 GB)</w:t>
            </w:r>
          </w:p>
        </w:tc>
        <w:tc>
          <w:tcPr>
            <w:tcW w:w="2251" w:type="dxa"/>
            <w:tcBorders/>
            <w:vAlign w:val="center"/>
          </w:tcPr>
          <w:p>
            <w:pPr>
              <w:pStyle w:val="TableContents"/>
              <w:bidi w:val="0"/>
              <w:spacing w:before="0" w:after="170"/>
              <w:ind w:hanging="0" w:left="0" w:right="0"/>
              <w:rPr/>
            </w:pPr>
            <w:r>
              <w:rPr/>
              <w:t>~10 s</w:t>
            </w:r>
          </w:p>
        </w:tc>
      </w:tr>
      <w:tr>
        <w:trPr/>
        <w:tc>
          <w:tcPr>
            <w:tcW w:w="661" w:type="dxa"/>
            <w:tcBorders/>
            <w:vAlign w:val="center"/>
          </w:tcPr>
          <w:p>
            <w:pPr>
              <w:pStyle w:val="TableContents"/>
              <w:bidi w:val="0"/>
              <w:spacing w:before="0" w:after="170"/>
              <w:jc w:val="right"/>
              <w:rPr/>
            </w:pPr>
            <w:r>
              <w:rPr/>
              <w:t>3</w:t>
            </w:r>
          </w:p>
        </w:tc>
        <w:tc>
          <w:tcPr>
            <w:tcW w:w="6856" w:type="dxa"/>
            <w:tcBorders/>
            <w:vAlign w:val="center"/>
          </w:tcPr>
          <w:p>
            <w:pPr>
              <w:pStyle w:val="TableContents"/>
              <w:bidi w:val="0"/>
              <w:spacing w:before="0" w:after="170"/>
              <w:rPr/>
            </w:pPr>
            <w:r>
              <w:rPr/>
              <w:t>Create the instance; it boots into a running site</w:t>
            </w:r>
          </w:p>
        </w:tc>
        <w:tc>
          <w:tcPr>
            <w:tcW w:w="2251" w:type="dxa"/>
            <w:tcBorders/>
            <w:vAlign w:val="center"/>
          </w:tcPr>
          <w:p>
            <w:pPr>
              <w:pStyle w:val="TableContents"/>
              <w:bidi w:val="0"/>
              <w:spacing w:before="0" w:after="170"/>
              <w:ind w:hanging="0" w:left="0" w:right="0"/>
              <w:rPr/>
            </w:pPr>
            <w:r>
              <w:rPr/>
              <w:t>~60 s</w:t>
            </w:r>
          </w:p>
        </w:tc>
      </w:tr>
      <w:tr>
        <w:trPr/>
        <w:tc>
          <w:tcPr>
            <w:tcW w:w="661" w:type="dxa"/>
            <w:tcBorders/>
            <w:vAlign w:val="center"/>
          </w:tcPr>
          <w:p>
            <w:pPr>
              <w:pStyle w:val="TableContents"/>
              <w:bidi w:val="0"/>
              <w:spacing w:before="0" w:after="170"/>
              <w:jc w:val="right"/>
              <w:rPr/>
            </w:pPr>
            <w:r>
              <w:rPr/>
              <w:t>4</w:t>
            </w:r>
          </w:p>
        </w:tc>
        <w:tc>
          <w:tcPr>
            <w:tcW w:w="6856" w:type="dxa"/>
            <w:tcBorders/>
            <w:vAlign w:val="center"/>
          </w:tcPr>
          <w:p>
            <w:pPr>
              <w:pStyle w:val="TableContents"/>
              <w:bidi w:val="0"/>
              <w:spacing w:before="0" w:after="170"/>
              <w:rPr/>
            </w:pPr>
            <w:r>
              <w:rPr/>
              <w:t>Create and attach a static IP</w:t>
            </w:r>
          </w:p>
        </w:tc>
        <w:tc>
          <w:tcPr>
            <w:tcW w:w="2251" w:type="dxa"/>
            <w:tcBorders/>
            <w:vAlign w:val="center"/>
          </w:tcPr>
          <w:p>
            <w:pPr>
              <w:pStyle w:val="TableContents"/>
              <w:bidi w:val="0"/>
              <w:spacing w:before="0" w:after="170"/>
              <w:ind w:hanging="0" w:left="0" w:right="0"/>
              <w:rPr/>
            </w:pPr>
            <w:r>
              <w:rPr/>
              <w:t>~15 s</w:t>
            </w:r>
          </w:p>
        </w:tc>
      </w:tr>
      <w:tr>
        <w:trPr/>
        <w:tc>
          <w:tcPr>
            <w:tcW w:w="661" w:type="dxa"/>
            <w:tcBorders/>
            <w:vAlign w:val="center"/>
          </w:tcPr>
          <w:p>
            <w:pPr>
              <w:pStyle w:val="TableContents"/>
              <w:bidi w:val="0"/>
              <w:spacing w:before="0" w:after="170"/>
              <w:jc w:val="right"/>
              <w:rPr/>
            </w:pPr>
            <w:r>
              <w:rPr/>
              <w:t>5</w:t>
            </w:r>
          </w:p>
        </w:tc>
        <w:tc>
          <w:tcPr>
            <w:tcW w:w="6856" w:type="dxa"/>
            <w:tcBorders/>
            <w:vAlign w:val="center"/>
          </w:tcPr>
          <w:p>
            <w:pPr>
              <w:pStyle w:val="TableContents"/>
              <w:bidi w:val="0"/>
              <w:spacing w:before="0" w:after="170"/>
              <w:rPr/>
            </w:pPr>
            <w:r>
              <w:rPr/>
              <w:t>Create a DNS zone and point an A record at the static IP</w:t>
            </w:r>
          </w:p>
        </w:tc>
        <w:tc>
          <w:tcPr>
            <w:tcW w:w="2251" w:type="dxa"/>
            <w:tcBorders/>
            <w:vAlign w:val="center"/>
          </w:tcPr>
          <w:p>
            <w:pPr>
              <w:pStyle w:val="TableContents"/>
              <w:bidi w:val="0"/>
              <w:spacing w:before="0" w:after="170"/>
              <w:ind w:hanging="0" w:left="0" w:right="0"/>
              <w:rPr/>
            </w:pPr>
            <w:r>
              <w:rPr/>
              <w:t>~2 min</w:t>
            </w:r>
          </w:p>
        </w:tc>
      </w:tr>
      <w:tr>
        <w:trPr/>
        <w:tc>
          <w:tcPr>
            <w:tcW w:w="661" w:type="dxa"/>
            <w:tcBorders/>
            <w:vAlign w:val="center"/>
          </w:tcPr>
          <w:p>
            <w:pPr>
              <w:pStyle w:val="TableContents"/>
              <w:bidi w:val="0"/>
              <w:spacing w:before="0" w:after="170"/>
              <w:jc w:val="right"/>
              <w:rPr/>
            </w:pPr>
            <w:r>
              <w:rPr/>
              <w:t>6</w:t>
            </w:r>
          </w:p>
        </w:tc>
        <w:tc>
          <w:tcPr>
            <w:tcW w:w="6856" w:type="dxa"/>
            <w:tcBorders/>
            <w:vAlign w:val="center"/>
          </w:tcPr>
          <w:p>
            <w:pPr>
              <w:pStyle w:val="TableContents"/>
              <w:bidi w:val="0"/>
              <w:spacing w:before="0" w:after="170"/>
              <w:rPr/>
            </w:pPr>
            <w:r>
              <w:rPr/>
              <w:t>Enable HTTPS with a Let's Encrypt or ACM certificate</w:t>
            </w:r>
          </w:p>
        </w:tc>
        <w:tc>
          <w:tcPr>
            <w:tcW w:w="2251" w:type="dxa"/>
            <w:tcBorders/>
            <w:vAlign w:val="center"/>
          </w:tcPr>
          <w:p>
            <w:pPr>
              <w:pStyle w:val="TableContents"/>
              <w:bidi w:val="0"/>
              <w:spacing w:before="0" w:after="170"/>
              <w:rPr/>
            </w:pPr>
            <w:r>
              <w:rPr/>
              <w:t>~5 min</w:t>
            </w:r>
          </w:p>
        </w:tc>
      </w:tr>
    </w:tbl>
    <w:p>
      <w:pPr>
        <w:pStyle w:val="BodyText"/>
        <w:bidi w:val="0"/>
        <w:rPr/>
      </w:pPr>
      <w:r>
        <w:rPr/>
        <w:t>The result is a live, HTTPS-secured, production-capable WordPress site in under ten minutes. The same outcome on raw EC2 requires all eight prerequisite resources identified in Section 1.2 to be created and correctly wired together before installation begins.</w:t>
      </w:r>
    </w:p>
    <w:p>
      <w:pPr>
        <w:pStyle w:val="Heading3"/>
        <w:bidi w:val="0"/>
        <w:ind w:hanging="0" w:left="0" w:right="0"/>
        <w:jc w:val="left"/>
        <w:rPr/>
      </w:pPr>
      <w:bookmarkStart w:id="39" w:name="92-command-line-equivalent"/>
      <w:bookmarkEnd w:id="39"/>
      <w:r>
        <w:rPr/>
        <w:t>9.2 Command-Line Equivalent</w:t>
      </w:r>
    </w:p>
    <w:p>
      <w:pPr>
        <w:pStyle w:val="BodyText"/>
        <w:bidi w:val="0"/>
        <w:rPr/>
      </w:pPr>
      <w:r>
        <w:rPr/>
        <w:t>Nothing in the workflow is console-only; the same operations are available through the AWS CLI, which makes Lightsail deployments scriptable and reproducible:</w:t>
      </w:r>
    </w:p>
    <w:p>
      <w:pPr>
        <w:pStyle w:val="PreformattedText"/>
        <w:bidi w:val="0"/>
        <w:jc w:val="left"/>
        <w:rPr/>
      </w:pPr>
      <w:r>
        <w:rPr>
          <w:rStyle w:val="SourceText"/>
        </w:rPr>
        <w:t># 1–3. Create a WordPress instance on the Small bundle</w:t>
      </w:r>
    </w:p>
    <w:p>
      <w:pPr>
        <w:pStyle w:val="PreformattedText"/>
        <w:bidi w:val="0"/>
        <w:jc w:val="left"/>
        <w:rPr/>
      </w:pPr>
      <w:r>
        <w:rPr>
          <w:rStyle w:val="SourceText"/>
        </w:rPr>
        <w:t>aws lightsail create-instances \</w:t>
      </w:r>
    </w:p>
    <w:p>
      <w:pPr>
        <w:pStyle w:val="PreformattedText"/>
        <w:bidi w:val="0"/>
        <w:jc w:val="left"/>
        <w:rPr/>
      </w:pPr>
      <w:r>
        <w:rPr>
          <w:rStyle w:val="SourceText"/>
        </w:rPr>
        <w:t xml:space="preserve">    </w:t>
      </w:r>
      <w:r>
        <w:rPr>
          <w:rStyle w:val="SourceText"/>
        </w:rPr>
        <w:t>--instance-names my-site \</w:t>
      </w:r>
    </w:p>
    <w:p>
      <w:pPr>
        <w:pStyle w:val="PreformattedText"/>
        <w:bidi w:val="0"/>
        <w:jc w:val="left"/>
        <w:rPr/>
      </w:pPr>
      <w:r>
        <w:rPr>
          <w:rStyle w:val="SourceText"/>
        </w:rPr>
        <w:t xml:space="preserve">    </w:t>
      </w:r>
      <w:r>
        <w:rPr>
          <w:rStyle w:val="SourceText"/>
        </w:rPr>
        <w:t>--availability-zone us-east-1a \</w:t>
      </w:r>
    </w:p>
    <w:p>
      <w:pPr>
        <w:pStyle w:val="PreformattedText"/>
        <w:bidi w:val="0"/>
        <w:jc w:val="left"/>
        <w:rPr/>
      </w:pPr>
      <w:r>
        <w:rPr>
          <w:rStyle w:val="SourceText"/>
        </w:rPr>
        <w:t xml:space="preserve">    </w:t>
      </w:r>
      <w:r>
        <w:rPr>
          <w:rStyle w:val="SourceText"/>
        </w:rPr>
        <w:t>--blueprint-id wordpress \</w:t>
      </w:r>
    </w:p>
    <w:p>
      <w:pPr>
        <w:pStyle w:val="PreformattedText"/>
        <w:bidi w:val="0"/>
        <w:jc w:val="left"/>
        <w:rPr/>
      </w:pPr>
      <w:r>
        <w:rPr>
          <w:rStyle w:val="SourceText"/>
        </w:rPr>
        <w:t xml:space="preserve">    </w:t>
      </w:r>
      <w:r>
        <w:rPr>
          <w:rStyle w:val="SourceText"/>
        </w:rPr>
        <w:t>--bundle-id small_3_0</w:t>
      </w:r>
    </w:p>
    <w:p>
      <w:pPr>
        <w:pStyle w:val="PreformattedText"/>
        <w:bidi w:val="0"/>
        <w:jc w:val="left"/>
        <w:rPr/>
      </w:pPr>
      <w:r>
        <w:rPr/>
      </w:r>
    </w:p>
    <w:p>
      <w:pPr>
        <w:pStyle w:val="PreformattedText"/>
        <w:bidi w:val="0"/>
        <w:jc w:val="left"/>
        <w:rPr/>
      </w:pPr>
      <w:r>
        <w:rPr>
          <w:rStyle w:val="SourceText"/>
        </w:rPr>
        <w:t># 4. Allocate and attach a static IP</w:t>
      </w:r>
    </w:p>
    <w:p>
      <w:pPr>
        <w:pStyle w:val="PreformattedText"/>
        <w:bidi w:val="0"/>
        <w:jc w:val="left"/>
        <w:rPr/>
      </w:pPr>
      <w:r>
        <w:rPr>
          <w:rStyle w:val="SourceText"/>
        </w:rPr>
        <w:t>aws lightsail allocate-static-ip --static-ip-name my-site-ip</w:t>
      </w:r>
    </w:p>
    <w:p>
      <w:pPr>
        <w:pStyle w:val="PreformattedText"/>
        <w:bidi w:val="0"/>
        <w:jc w:val="left"/>
        <w:rPr/>
      </w:pPr>
      <w:r>
        <w:rPr>
          <w:rStyle w:val="SourceText"/>
        </w:rPr>
        <w:t>aws lightsail attach-static-ip --static-ip-name my-site-ip --instance-name my-site</w:t>
      </w:r>
    </w:p>
    <w:p>
      <w:pPr>
        <w:pStyle w:val="PreformattedText"/>
        <w:bidi w:val="0"/>
        <w:jc w:val="left"/>
        <w:rPr/>
      </w:pPr>
      <w:r>
        <w:rPr/>
      </w:r>
    </w:p>
    <w:p>
      <w:pPr>
        <w:pStyle w:val="PreformattedText"/>
        <w:bidi w:val="0"/>
        <w:jc w:val="left"/>
        <w:rPr/>
      </w:pPr>
      <w:r>
        <w:rPr>
          <w:rStyle w:val="SourceText"/>
        </w:rPr>
        <w:t># 5. Create a DNS zone and an A record</w:t>
      </w:r>
    </w:p>
    <w:p>
      <w:pPr>
        <w:pStyle w:val="PreformattedText"/>
        <w:bidi w:val="0"/>
        <w:jc w:val="left"/>
        <w:rPr/>
      </w:pPr>
      <w:r>
        <w:rPr>
          <w:rStyle w:val="SourceText"/>
        </w:rPr>
        <w:t>aws lightsail create-domain --domain-name example.com</w:t>
      </w:r>
    </w:p>
    <w:p>
      <w:pPr>
        <w:pStyle w:val="PreformattedText"/>
        <w:bidi w:val="0"/>
        <w:jc w:val="left"/>
        <w:rPr/>
      </w:pPr>
      <w:r>
        <w:rPr>
          <w:rStyle w:val="SourceText"/>
        </w:rPr>
        <w:t>aws lightsail create-domain-entry --domain-name example.com \</w:t>
      </w:r>
    </w:p>
    <w:p>
      <w:pPr>
        <w:pStyle w:val="PreformattedText"/>
        <w:bidi w:val="0"/>
        <w:jc w:val="left"/>
        <w:rPr/>
      </w:pPr>
      <w:r>
        <w:rPr>
          <w:rStyle w:val="SourceText"/>
        </w:rPr>
        <w:t xml:space="preserve">    </w:t>
      </w:r>
      <w:r>
        <w:rPr>
          <w:rStyle w:val="SourceText"/>
        </w:rPr>
        <w:t>--domain-entry name=example.com,type=A,target=&lt;static-ip&gt;</w:t>
      </w:r>
    </w:p>
    <w:p>
      <w:pPr>
        <w:pStyle w:val="PreformattedText"/>
        <w:bidi w:val="0"/>
        <w:jc w:val="left"/>
        <w:rPr/>
      </w:pPr>
      <w:r>
        <w:rPr/>
      </w:r>
    </w:p>
    <w:p>
      <w:pPr>
        <w:pStyle w:val="PreformattedText"/>
        <w:bidi w:val="0"/>
        <w:jc w:val="left"/>
        <w:rPr/>
      </w:pPr>
      <w:r>
        <w:rPr>
          <w:rStyle w:val="SourceText"/>
        </w:rPr>
        <w:t># Open the firewall for HTTPS</w:t>
      </w:r>
    </w:p>
    <w:p>
      <w:pPr>
        <w:pStyle w:val="PreformattedText"/>
        <w:bidi w:val="0"/>
        <w:jc w:val="left"/>
        <w:rPr/>
      </w:pPr>
      <w:r>
        <w:rPr>
          <w:rStyle w:val="SourceText"/>
        </w:rPr>
        <w:t>aws lightsail open-instance-public-ports \</w:t>
      </w:r>
    </w:p>
    <w:p>
      <w:pPr>
        <w:pStyle w:val="PreformattedText"/>
        <w:bidi w:val="0"/>
        <w:jc w:val="left"/>
        <w:rPr/>
      </w:pPr>
      <w:r>
        <w:rPr>
          <w:rStyle w:val="SourceText"/>
        </w:rPr>
        <w:t xml:space="preserve">    </w:t>
      </w:r>
      <w:r>
        <w:rPr>
          <w:rStyle w:val="SourceText"/>
        </w:rPr>
        <w:t>--instance-name my-site \</w:t>
      </w:r>
    </w:p>
    <w:p>
      <w:pPr>
        <w:pStyle w:val="PreformattedText"/>
        <w:bidi w:val="0"/>
        <w:jc w:val="left"/>
        <w:rPr/>
      </w:pPr>
      <w:r>
        <w:rPr>
          <w:rStyle w:val="SourceText"/>
        </w:rPr>
        <w:t xml:space="preserve">    </w:t>
      </w:r>
      <w:r>
        <w:rPr>
          <w:rStyle w:val="SourceText"/>
        </w:rPr>
        <w:t>--port-info fromPort=443,toPort=443,protocol=TCP</w:t>
      </w:r>
    </w:p>
    <w:p>
      <w:pPr>
        <w:pStyle w:val="PreformattedText"/>
        <w:bidi w:val="0"/>
        <w:jc w:val="left"/>
        <w:rPr/>
      </w:pPr>
      <w:r>
        <w:rPr/>
      </w:r>
    </w:p>
    <w:p>
      <w:pPr>
        <w:pStyle w:val="PreformattedText"/>
        <w:bidi w:val="0"/>
        <w:jc w:val="left"/>
        <w:rPr/>
      </w:pPr>
      <w:r>
        <w:rPr>
          <w:rStyle w:val="SourceText"/>
        </w:rPr>
        <w:t># Retrieve the one-time WordPress administrator password</w:t>
      </w:r>
    </w:p>
    <w:p>
      <w:pPr>
        <w:pStyle w:val="PreformattedText"/>
        <w:bidi w:val="0"/>
        <w:spacing w:before="0" w:after="283"/>
        <w:jc w:val="left"/>
        <w:rPr/>
      </w:pPr>
      <w:r>
        <w:rPr>
          <w:rStyle w:val="SourceText"/>
        </w:rPr>
        <w:t>aws lightsail get-instance-access-details --instance-name my-site</w:t>
      </w:r>
    </w:p>
    <w:p>
      <w:pPr>
        <w:pStyle w:val="HorizontalLine"/>
        <w:bidi w:val="0"/>
        <w:jc w:val="left"/>
        <w:rPr/>
      </w:pPr>
      <w:r>
        <w:rPr/>
      </w:r>
    </w:p>
    <w:p>
      <w:pPr>
        <w:pStyle w:val="Heading2"/>
        <w:bidi w:val="0"/>
        <w:ind w:hanging="0" w:left="0" w:right="0"/>
        <w:jc w:val="left"/>
        <w:rPr/>
      </w:pPr>
      <w:bookmarkStart w:id="40" w:name="10-application-areas"/>
      <w:bookmarkEnd w:id="40"/>
      <w:r>
        <w:rPr/>
        <w:t>10. Application Areas</w:t>
      </w:r>
    </w:p>
    <w:tbl>
      <w:tblPr>
        <w:tblW w:w="20882" w:type="dxa"/>
        <w:jc w:val="left"/>
        <w:tblInd w:w="0" w:type="dxa"/>
        <w:tblLayout w:type="fixed"/>
        <w:tblCellMar>
          <w:top w:w="28" w:type="dxa"/>
          <w:left w:w="28" w:type="dxa"/>
          <w:bottom w:w="28" w:type="dxa"/>
          <w:right w:w="28" w:type="dxa"/>
        </w:tblCellMar>
      </w:tblPr>
      <w:tblGrid>
        <w:gridCol w:w="4381"/>
        <w:gridCol w:w="16501"/>
      </w:tblGrid>
      <w:tr>
        <w:trPr>
          <w:tblHeader w:val="true"/>
        </w:trPr>
        <w:tc>
          <w:tcPr>
            <w:tcW w:w="4381" w:type="dxa"/>
            <w:tcBorders/>
            <w:vAlign w:val="center"/>
          </w:tcPr>
          <w:p>
            <w:pPr>
              <w:pStyle w:val="TableHeading"/>
              <w:suppressLineNumbers/>
              <w:shd w:fill="232F3E" w:val="clear"/>
              <w:bidi w:val="0"/>
              <w:spacing w:before="0" w:after="170"/>
              <w:jc w:val="left"/>
              <w:rPr/>
            </w:pPr>
            <w:r>
              <w:rPr/>
              <w:t>Use case</w:t>
            </w:r>
          </w:p>
        </w:tc>
        <w:tc>
          <w:tcPr>
            <w:tcW w:w="16501" w:type="dxa"/>
            <w:tcBorders/>
            <w:vAlign w:val="center"/>
          </w:tcPr>
          <w:p>
            <w:pPr>
              <w:pStyle w:val="TableHeading"/>
              <w:suppressLineNumbers/>
              <w:shd w:fill="232F3E" w:val="clear"/>
              <w:bidi w:val="0"/>
              <w:spacing w:before="0" w:after="170"/>
              <w:jc w:val="left"/>
              <w:rPr/>
            </w:pPr>
            <w:r>
              <w:rPr/>
              <w:t>Why Lightsail suits it</w:t>
            </w:r>
          </w:p>
        </w:tc>
      </w:tr>
      <w:tr>
        <w:trPr/>
        <w:tc>
          <w:tcPr>
            <w:tcW w:w="4381" w:type="dxa"/>
            <w:tcBorders/>
            <w:vAlign w:val="center"/>
          </w:tcPr>
          <w:p>
            <w:pPr>
              <w:pStyle w:val="TableContents"/>
              <w:bidi w:val="0"/>
              <w:spacing w:before="0" w:after="170"/>
              <w:rPr/>
            </w:pPr>
            <w:r>
              <w:rPr>
                <w:rStyle w:val="Strong"/>
              </w:rPr>
              <w:t>Websites and blogs</w:t>
            </w:r>
          </w:p>
        </w:tc>
        <w:tc>
          <w:tcPr>
            <w:tcW w:w="16501" w:type="dxa"/>
            <w:tcBorders/>
            <w:vAlign w:val="center"/>
          </w:tcPr>
          <w:p>
            <w:pPr>
              <w:pStyle w:val="TableContents"/>
              <w:bidi w:val="0"/>
              <w:spacing w:before="0" w:after="170"/>
              <w:rPr/>
            </w:pPr>
            <w:r>
              <w:rPr/>
              <w:t>WordPress, Ghost and Drupal blueprints deploy instantly, and the bundle's transfer allowance comfortably covers ordinary traffic.</w:t>
            </w:r>
          </w:p>
        </w:tc>
      </w:tr>
      <w:tr>
        <w:trPr/>
        <w:tc>
          <w:tcPr>
            <w:tcW w:w="4381" w:type="dxa"/>
            <w:tcBorders/>
            <w:vAlign w:val="center"/>
          </w:tcPr>
          <w:p>
            <w:pPr>
              <w:pStyle w:val="TableContents"/>
              <w:bidi w:val="0"/>
              <w:spacing w:before="0" w:after="170"/>
              <w:rPr/>
            </w:pPr>
            <w:r>
              <w:rPr>
                <w:rStyle w:val="Strong"/>
              </w:rPr>
              <w:t>Development and test environments</w:t>
            </w:r>
          </w:p>
        </w:tc>
        <w:tc>
          <w:tcPr>
            <w:tcW w:w="16501" w:type="dxa"/>
            <w:tcBorders/>
            <w:vAlign w:val="center"/>
          </w:tcPr>
          <w:p>
            <w:pPr>
              <w:pStyle w:val="TableContents"/>
              <w:bidi w:val="0"/>
              <w:spacing w:before="0" w:after="170"/>
              <w:rPr/>
            </w:pPr>
            <w:r>
              <w:rPr/>
              <w:t>Disposable environments mirroring production, created for a sprint and deleted afterwards; the fixed price makes the cost of the experiment knowable.</w:t>
            </w:r>
          </w:p>
        </w:tc>
      </w:tr>
      <w:tr>
        <w:trPr/>
        <w:tc>
          <w:tcPr>
            <w:tcW w:w="4381" w:type="dxa"/>
            <w:tcBorders/>
            <w:vAlign w:val="center"/>
          </w:tcPr>
          <w:p>
            <w:pPr>
              <w:pStyle w:val="TableContents"/>
              <w:bidi w:val="0"/>
              <w:spacing w:before="0" w:after="170"/>
              <w:rPr/>
            </w:pPr>
            <w:r>
              <w:rPr>
                <w:rStyle w:val="Strong"/>
              </w:rPr>
              <w:t>Small business applications</w:t>
            </w:r>
          </w:p>
        </w:tc>
        <w:tc>
          <w:tcPr>
            <w:tcW w:w="16501" w:type="dxa"/>
            <w:tcBorders/>
            <w:vAlign w:val="center"/>
          </w:tcPr>
          <w:p>
            <w:pPr>
              <w:pStyle w:val="TableContents"/>
              <w:bidi w:val="0"/>
              <w:spacing w:before="0" w:after="170"/>
              <w:rPr/>
            </w:pPr>
            <w:r>
              <w:rPr/>
              <w:t>Line-of-business tools, booking systems and intranets for organisations with no dedicated operations staff.</w:t>
            </w:r>
          </w:p>
        </w:tc>
      </w:tr>
      <w:tr>
        <w:trPr/>
        <w:tc>
          <w:tcPr>
            <w:tcW w:w="4381" w:type="dxa"/>
            <w:tcBorders/>
            <w:vAlign w:val="center"/>
          </w:tcPr>
          <w:p>
            <w:pPr>
              <w:pStyle w:val="TableContents"/>
              <w:bidi w:val="0"/>
              <w:spacing w:before="0" w:after="170"/>
              <w:rPr/>
            </w:pPr>
            <w:r>
              <w:rPr>
                <w:rStyle w:val="Strong"/>
              </w:rPr>
              <w:t>E-commerce storefronts</w:t>
            </w:r>
          </w:p>
        </w:tc>
        <w:tc>
          <w:tcPr>
            <w:tcW w:w="16501" w:type="dxa"/>
            <w:tcBorders/>
            <w:vAlign w:val="center"/>
          </w:tcPr>
          <w:p>
            <w:pPr>
              <w:pStyle w:val="TableContents"/>
              <w:bidi w:val="0"/>
              <w:spacing w:before="0" w:after="170"/>
              <w:rPr/>
            </w:pPr>
            <w:r>
              <w:rPr/>
              <w:t>Magento and PrestaShop blueprints combined with a managed database and a CDN distribution.</w:t>
            </w:r>
          </w:p>
        </w:tc>
      </w:tr>
      <w:tr>
        <w:trPr/>
        <w:tc>
          <w:tcPr>
            <w:tcW w:w="4381" w:type="dxa"/>
            <w:tcBorders/>
            <w:vAlign w:val="center"/>
          </w:tcPr>
          <w:p>
            <w:pPr>
              <w:pStyle w:val="TableContents"/>
              <w:bidi w:val="0"/>
              <w:spacing w:before="0" w:after="170"/>
              <w:rPr/>
            </w:pPr>
            <w:r>
              <w:rPr>
                <w:rStyle w:val="Strong"/>
              </w:rPr>
              <w:t>Learning and coursework</w:t>
            </w:r>
          </w:p>
        </w:tc>
        <w:tc>
          <w:tcPr>
            <w:tcW w:w="16501" w:type="dxa"/>
            <w:tcBorders/>
            <w:vAlign w:val="center"/>
          </w:tcPr>
          <w:p>
            <w:pPr>
              <w:pStyle w:val="TableContents"/>
              <w:bidi w:val="0"/>
              <w:spacing w:before="0" w:after="170"/>
              <w:rPr/>
            </w:pPr>
            <w:r>
              <w:rPr/>
              <w:t>A genuine cloud server for a few dollars a month — the most accessible entry point into AWS for a student.</w:t>
            </w:r>
          </w:p>
        </w:tc>
      </w:tr>
      <w:tr>
        <w:trPr/>
        <w:tc>
          <w:tcPr>
            <w:tcW w:w="4381" w:type="dxa"/>
            <w:tcBorders/>
            <w:vAlign w:val="center"/>
          </w:tcPr>
          <w:p>
            <w:pPr>
              <w:pStyle w:val="TableContents"/>
              <w:bidi w:val="0"/>
              <w:spacing w:before="0" w:after="170"/>
              <w:rPr/>
            </w:pPr>
            <w:r>
              <w:rPr>
                <w:rStyle w:val="Strong"/>
              </w:rPr>
              <w:t>Research computing</w:t>
            </w:r>
          </w:p>
        </w:tc>
        <w:tc>
          <w:tcPr>
            <w:tcW w:w="16501" w:type="dxa"/>
            <w:tcBorders/>
            <w:vAlign w:val="center"/>
          </w:tcPr>
          <w:p>
            <w:pPr>
              <w:pStyle w:val="TableContents"/>
              <w:bidi w:val="0"/>
              <w:spacing w:before="0" w:after="170"/>
              <w:rPr/>
            </w:pPr>
            <w:r>
              <w:rPr/>
              <w:t>Lightsail for Research packages CPU and GPU workstations under the same fixed-price model, aimed at researchers without cloud administration experience.</w:t>
            </w:r>
          </w:p>
        </w:tc>
      </w:tr>
      <w:tr>
        <w:trPr/>
        <w:tc>
          <w:tcPr>
            <w:tcW w:w="4381" w:type="dxa"/>
            <w:tcBorders/>
            <w:vAlign w:val="center"/>
          </w:tcPr>
          <w:p>
            <w:pPr>
              <w:pStyle w:val="TableContents"/>
              <w:bidi w:val="0"/>
              <w:spacing w:before="0" w:after="170"/>
              <w:rPr/>
            </w:pPr>
            <w:r>
              <w:rPr>
                <w:rStyle w:val="Strong"/>
              </w:rPr>
              <w:t>Simple container workloads</w:t>
            </w:r>
          </w:p>
        </w:tc>
        <w:tc>
          <w:tcPr>
            <w:tcW w:w="16501" w:type="dxa"/>
            <w:tcBorders/>
            <w:vAlign w:val="center"/>
          </w:tcPr>
          <w:p>
            <w:pPr>
              <w:pStyle w:val="TableContents"/>
              <w:bidi w:val="0"/>
              <w:spacing w:before="0" w:after="170"/>
              <w:rPr/>
            </w:pPr>
            <w:r>
              <w:rPr/>
              <w:t>Applications already containerised but not warranting ECS or Kubernetes.</w:t>
            </w:r>
          </w:p>
        </w:tc>
      </w:tr>
    </w:tbl>
    <w:p>
      <w:pPr>
        <w:pStyle w:val="BodyText"/>
        <w:bidi w:val="0"/>
        <w:rPr/>
      </w:pPr>
      <w:r>
        <w:rPr/>
        <w:t xml:space="preserve">The common thread is a workload whose </w:t>
      </w:r>
      <w:r>
        <w:rPr>
          <w:rStyle w:val="Strong"/>
        </w:rPr>
        <w:t>ceiling is known in advance</w:t>
      </w:r>
      <w:r>
        <w:rPr/>
        <w:t>. Where demand is genuinely unpredictable, the absence of auto scaling makes Lightsail a poor fit.</w:t>
      </w:r>
    </w:p>
    <w:p>
      <w:pPr>
        <w:pStyle w:val="HorizontalLine"/>
        <w:bidi w:val="0"/>
        <w:jc w:val="left"/>
        <w:rPr/>
      </w:pPr>
      <w:r>
        <w:rPr/>
      </w:r>
    </w:p>
    <w:p>
      <w:pPr>
        <w:pStyle w:val="Heading2"/>
        <w:bidi w:val="0"/>
        <w:ind w:hanging="0" w:left="0" w:right="0"/>
        <w:jc w:val="left"/>
        <w:rPr/>
      </w:pPr>
      <w:bookmarkStart w:id="41" w:name="11-limitations-and-critical-evaluation"/>
      <w:bookmarkEnd w:id="41"/>
      <w:r>
        <w:rPr/>
        <w:t>11. Limitations and Critical Evaluation</w:t>
      </w:r>
    </w:p>
    <w:p>
      <w:pPr>
        <w:pStyle w:val="Heading3"/>
        <w:bidi w:val="0"/>
        <w:ind w:hanging="0" w:left="0" w:right="0"/>
        <w:jc w:val="left"/>
        <w:rPr/>
      </w:pPr>
      <w:bookmarkStart w:id="42" w:name="111-architectural-limitations"/>
      <w:bookmarkEnd w:id="42"/>
      <w:r>
        <w:rPr/>
        <w:t>11.1 Architectural Limitations</w:t>
      </w:r>
    </w:p>
    <w:p>
      <w:pPr>
        <w:pStyle w:val="BodyText"/>
        <w:numPr>
          <w:ilvl w:val="0"/>
          <w:numId w:val="13"/>
        </w:numPr>
        <w:tabs>
          <w:tab w:val="clear" w:pos="1134"/>
          <w:tab w:val="left" w:pos="709" w:leader="none"/>
        </w:tabs>
        <w:bidi w:val="0"/>
        <w:spacing w:before="0" w:after="0"/>
        <w:ind w:hanging="283" w:left="709"/>
        <w:rPr/>
      </w:pPr>
      <w:r>
        <w:rPr>
          <w:rStyle w:val="Strong"/>
        </w:rPr>
        <w:t>No instance auto scaling.</w:t>
      </w:r>
      <w:r>
        <w:rPr/>
        <w:t xml:space="preserve"> Capacity is a manual decision. Traffic spikes must be absorbed by over-provisioning or handled by adding instances behind a load balancer by hand. Container services scale by node count, but only if reconfigured. </w:t>
      </w:r>
    </w:p>
    <w:p>
      <w:pPr>
        <w:pStyle w:val="BodyText"/>
        <w:numPr>
          <w:ilvl w:val="0"/>
          <w:numId w:val="13"/>
        </w:numPr>
        <w:tabs>
          <w:tab w:val="clear" w:pos="1134"/>
          <w:tab w:val="left" w:pos="709" w:leader="none"/>
        </w:tabs>
        <w:bidi w:val="0"/>
        <w:spacing w:before="0" w:after="0"/>
        <w:ind w:hanging="283" w:left="709"/>
        <w:rPr/>
      </w:pPr>
      <w:r>
        <w:rPr>
          <w:rStyle w:val="Strong"/>
        </w:rPr>
        <w:t>No discount instruments.</w:t>
      </w:r>
      <w:r>
        <w:rPr/>
        <w:t xml:space="preserve"> Reserved Instances, Savings Plans and Spot pricing are unavailable. At sustained scale, a comparable EC2 deployment under a Savings Plan becomes cheaper. </w:t>
      </w:r>
    </w:p>
    <w:p>
      <w:pPr>
        <w:pStyle w:val="BodyText"/>
        <w:numPr>
          <w:ilvl w:val="0"/>
          <w:numId w:val="13"/>
        </w:numPr>
        <w:tabs>
          <w:tab w:val="clear" w:pos="1134"/>
          <w:tab w:val="left" w:pos="709" w:leader="none"/>
        </w:tabs>
        <w:bidi w:val="0"/>
        <w:spacing w:before="0" w:after="0"/>
        <w:ind w:hanging="283" w:left="709"/>
        <w:rPr/>
      </w:pPr>
      <w:r>
        <w:rPr>
          <w:rStyle w:val="Strong"/>
        </w:rPr>
        <w:t>Coarse access control.</w:t>
      </w:r>
      <w:r>
        <w:rPr/>
        <w:t xml:space="preserve"> Lightsail-level permissions are not a substitute for IAM. Where least-privilege access is formally audited — regulated industries, or any organisation with a compliance function — this alone disqualifies the service. </w:t>
      </w:r>
    </w:p>
    <w:p>
      <w:pPr>
        <w:pStyle w:val="BodyText"/>
        <w:numPr>
          <w:ilvl w:val="0"/>
          <w:numId w:val="13"/>
        </w:numPr>
        <w:tabs>
          <w:tab w:val="clear" w:pos="1134"/>
          <w:tab w:val="left" w:pos="709" w:leader="none"/>
        </w:tabs>
        <w:bidi w:val="0"/>
        <w:spacing w:before="0" w:after="0"/>
        <w:ind w:hanging="283" w:left="709"/>
        <w:rPr/>
      </w:pPr>
      <w:r>
        <w:rPr>
          <w:rStyle w:val="Strong"/>
        </w:rPr>
        <w:t>Limited AWS integration.</w:t>
      </w:r>
      <w:r>
        <w:rPr/>
        <w:t xml:space="preserve"> Access to the wider AWS estate is mediated by VPC peering rather than native integration. </w:t>
      </w:r>
    </w:p>
    <w:p>
      <w:pPr>
        <w:pStyle w:val="BodyText"/>
        <w:numPr>
          <w:ilvl w:val="0"/>
          <w:numId w:val="13"/>
        </w:numPr>
        <w:tabs>
          <w:tab w:val="clear" w:pos="1134"/>
          <w:tab w:val="left" w:pos="709" w:leader="none"/>
        </w:tabs>
        <w:bidi w:val="0"/>
        <w:spacing w:before="0" w:after="0"/>
        <w:ind w:hanging="283" w:left="709"/>
        <w:rPr/>
      </w:pPr>
      <w:r>
        <w:rPr>
          <w:rStyle w:val="Strong"/>
        </w:rPr>
        <w:t>Burstable CPU on entry tiers.</w:t>
      </w:r>
      <w:r>
        <w:rPr/>
        <w:t xml:space="preserve"> Bundles below $24 per month throttle to baseline once CPU credits are exhausted, which is a frequent cause of unexplained slowness. </w:t>
      </w:r>
    </w:p>
    <w:p>
      <w:pPr>
        <w:pStyle w:val="BodyText"/>
        <w:numPr>
          <w:ilvl w:val="0"/>
          <w:numId w:val="13"/>
        </w:numPr>
        <w:tabs>
          <w:tab w:val="clear" w:pos="1134"/>
          <w:tab w:val="left" w:pos="709" w:leader="none"/>
        </w:tabs>
        <w:bidi w:val="0"/>
        <w:ind w:hanging="283" w:left="709"/>
        <w:rPr/>
      </w:pPr>
      <w:r>
        <w:rPr>
          <w:rStyle w:val="Strong"/>
        </w:rPr>
        <w:t>Ceiling on single-instance size.</w:t>
      </w:r>
      <w:r>
        <w:rPr/>
        <w:t xml:space="preserve"> General-purpose bundles stop at 64 GB and 16 vCPU. The specialised families extend this, but not to EC2's range. </w:t>
      </w:r>
    </w:p>
    <w:p>
      <w:pPr>
        <w:pStyle w:val="Heading3"/>
        <w:bidi w:val="0"/>
        <w:ind w:hanging="0" w:left="0" w:right="0"/>
        <w:jc w:val="left"/>
        <w:rPr/>
      </w:pPr>
      <w:bookmarkStart w:id="43" w:name="112-operational-and-commercial-limitatio"/>
      <w:bookmarkEnd w:id="43"/>
      <w:r>
        <w:rPr/>
        <w:t>11.2 Operational and Commercial Limitations</w:t>
      </w:r>
    </w:p>
    <w:p>
      <w:pPr>
        <w:pStyle w:val="BodyText"/>
        <w:numPr>
          <w:ilvl w:val="0"/>
          <w:numId w:val="14"/>
        </w:numPr>
        <w:tabs>
          <w:tab w:val="clear" w:pos="1134"/>
          <w:tab w:val="left" w:pos="709" w:leader="none"/>
        </w:tabs>
        <w:bidi w:val="0"/>
        <w:spacing w:before="0" w:after="0"/>
        <w:ind w:hanging="283" w:left="709"/>
        <w:rPr/>
      </w:pPr>
      <w:r>
        <w:rPr>
          <w:rStyle w:val="Strong"/>
        </w:rPr>
        <w:t>Default quotas</w:t>
      </w:r>
      <w:r>
        <w:rPr/>
        <w:t xml:space="preserve"> of 20 instances, 5 static IPs and 6 DNS zones per account. These can be raised on request, but they constrain the service's use as a fleet platform. </w:t>
      </w:r>
    </w:p>
    <w:p>
      <w:pPr>
        <w:pStyle w:val="BodyText"/>
        <w:numPr>
          <w:ilvl w:val="0"/>
          <w:numId w:val="14"/>
        </w:numPr>
        <w:tabs>
          <w:tab w:val="clear" w:pos="1134"/>
          <w:tab w:val="left" w:pos="709" w:leader="none"/>
        </w:tabs>
        <w:bidi w:val="0"/>
        <w:spacing w:before="0" w:after="0"/>
        <w:ind w:hanging="283" w:left="709"/>
        <w:rPr/>
      </w:pPr>
      <w:r>
        <w:rPr>
          <w:rStyle w:val="Strong"/>
        </w:rPr>
        <w:t>Transfer overage is billed per gigabyte</w:t>
      </w:r>
      <w:r>
        <w:rPr/>
        <w:t xml:space="preserve">, so the fixed price is a floor rather than a cap. </w:t>
      </w:r>
    </w:p>
    <w:p>
      <w:pPr>
        <w:pStyle w:val="BodyText"/>
        <w:numPr>
          <w:ilvl w:val="0"/>
          <w:numId w:val="14"/>
        </w:numPr>
        <w:tabs>
          <w:tab w:val="clear" w:pos="1134"/>
          <w:tab w:val="left" w:pos="709" w:leader="none"/>
        </w:tabs>
        <w:bidi w:val="0"/>
        <w:spacing w:before="0" w:after="0"/>
        <w:ind w:hanging="283" w:left="709"/>
        <w:rPr/>
      </w:pPr>
      <w:r>
        <w:rPr>
          <w:rStyle w:val="Strong"/>
        </w:rPr>
        <w:t>Patching remains the customer's responsibility</w:t>
      </w:r>
      <w:r>
        <w:rPr/>
        <w:t xml:space="preserve">, as set out in Section 7.2. </w:t>
      </w:r>
    </w:p>
    <w:p>
      <w:pPr>
        <w:pStyle w:val="BodyText"/>
        <w:numPr>
          <w:ilvl w:val="0"/>
          <w:numId w:val="14"/>
        </w:numPr>
        <w:tabs>
          <w:tab w:val="clear" w:pos="1134"/>
          <w:tab w:val="left" w:pos="709" w:leader="none"/>
        </w:tabs>
        <w:bidi w:val="0"/>
        <w:spacing w:before="0" w:after="0"/>
        <w:ind w:hanging="283" w:left="709"/>
        <w:rPr/>
      </w:pPr>
      <w:r>
        <w:rPr>
          <w:rStyle w:val="Strong"/>
        </w:rPr>
        <w:t>Blueprint churn.</w:t>
      </w:r>
      <w:r>
        <w:rPr/>
        <w:t xml:space="preserve"> The Bitnami deprecation through 2026–2027 obliges existing users to migrate. </w:t>
      </w:r>
    </w:p>
    <w:p>
      <w:pPr>
        <w:pStyle w:val="BodyText"/>
        <w:numPr>
          <w:ilvl w:val="0"/>
          <w:numId w:val="14"/>
        </w:numPr>
        <w:tabs>
          <w:tab w:val="clear" w:pos="1134"/>
          <w:tab w:val="left" w:pos="709" w:leader="none"/>
        </w:tabs>
        <w:bidi w:val="0"/>
        <w:ind w:hanging="283" w:left="709"/>
        <w:rPr/>
      </w:pPr>
      <w:r>
        <w:rPr>
          <w:rStyle w:val="Strong"/>
        </w:rPr>
        <w:t>Incomplete regional coverage</w:t>
      </w:r>
      <w:r>
        <w:rPr/>
        <w:t xml:space="preserve"> compared with EC2. </w:t>
      </w:r>
    </w:p>
    <w:p>
      <w:pPr>
        <w:pStyle w:val="Heading3"/>
        <w:bidi w:val="0"/>
        <w:ind w:hanging="0" w:left="0" w:right="0"/>
        <w:jc w:val="left"/>
        <w:rPr/>
      </w:pPr>
      <w:bookmarkStart w:id="44" w:name="113-assessment"/>
      <w:bookmarkEnd w:id="44"/>
      <w:r>
        <w:rPr/>
        <w:t>11.3 Assessment</w:t>
      </w:r>
    </w:p>
    <w:p>
      <w:pPr>
        <w:pStyle w:val="BodyText"/>
        <w:bidi w:val="0"/>
        <w:rPr/>
      </w:pPr>
      <w:r>
        <w:rPr/>
        <w:t>None of these constitutes a defect in the engineering sense. Each is a direct and predictable consequence of the fixed-price, low-choice model: a service cannot simultaneously guarantee a price in advance and offer unlimited elasticity, and it cannot present three configuration options while exposing the full IAM surface. The limitations are the cost of the proposition.</w:t>
      </w:r>
    </w:p>
    <w:p>
      <w:pPr>
        <w:pStyle w:val="BodyText"/>
        <w:bidi w:val="0"/>
        <w:rPr/>
      </w:pPr>
      <w:r>
        <w:rPr/>
        <w:t xml:space="preserve">Their practical value is diagnostic. Each limitation functions as a </w:t>
      </w:r>
      <w:r>
        <w:rPr>
          <w:rStyle w:val="Strong"/>
        </w:rPr>
        <w:t>signal</w:t>
      </w:r>
      <w:r>
        <w:rPr/>
        <w:t xml:space="preserve"> that a workload has outgrown the service. When auto scaling becomes necessary, when Savings Plans would materially reduce the bill, or when an auditor asks for least-privilege access, the correct response is not to work around Lightsail but to migrate.</w:t>
      </w:r>
    </w:p>
    <w:p>
      <w:pPr>
        <w:pStyle w:val="HorizontalLine"/>
        <w:bidi w:val="0"/>
        <w:jc w:val="left"/>
        <w:rPr/>
      </w:pPr>
      <w:r>
        <w:rPr/>
      </w:r>
    </w:p>
    <w:p>
      <w:pPr>
        <w:pStyle w:val="Heading2"/>
        <w:bidi w:val="0"/>
        <w:ind w:hanging="0" w:left="0" w:right="0"/>
        <w:jc w:val="left"/>
        <w:rPr/>
      </w:pPr>
      <w:bookmarkStart w:id="45" w:name="12-the-migration-path"/>
      <w:bookmarkEnd w:id="45"/>
      <w:r>
        <w:rPr/>
        <w:t>12. The Migration Path</w:t>
      </w:r>
    </w:p>
    <w:p>
      <w:pPr>
        <w:pStyle w:val="BodyText"/>
        <w:bidi w:val="0"/>
        <w:rPr/>
      </w:pPr>
      <w:r>
        <w:rPr/>
        <w:drawing>
          <wp:inline distT="0" distB="0" distL="0" distR="0">
            <wp:extent cx="20317460" cy="7618730"/>
            <wp:effectExtent l="0" t="0" r="0" b="0"/>
            <wp:docPr id="6" name="Image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pic:cNvPicPr>
                      <a:picLocks noChangeAspect="1" noChangeArrowheads="1"/>
                    </pic:cNvPicPr>
                  </pic:nvPicPr>
                  <pic:blipFill>
                    <a:blip r:embed="rId7"/>
                    <a:stretch>
                      <a:fillRect/>
                    </a:stretch>
                  </pic:blipFill>
                  <pic:spPr bwMode="auto">
                    <a:xfrm>
                      <a:off x="0" y="0"/>
                      <a:ext cx="20317460" cy="7618730"/>
                    </a:xfrm>
                    <a:prstGeom prst="rect">
                      <a:avLst/>
                    </a:prstGeom>
                  </pic:spPr>
                </pic:pic>
              </a:graphicData>
            </a:graphic>
          </wp:inline>
        </w:drawing>
      </w:r>
    </w:p>
    <w:p>
      <w:pPr>
        <w:pStyle w:val="BodyTextcaption"/>
        <w:bidi w:val="0"/>
        <w:rPr/>
      </w:pPr>
      <w:r>
        <w:rPr>
          <w:rStyle w:val="Strong"/>
        </w:rPr>
        <w:t>Figure 6</w:t>
      </w:r>
      <w:r>
        <w:rPr/>
        <w:t xml:space="preserve"> — The decision boundary, and the built-in migration route across it.</w:t>
      </w:r>
    </w:p>
    <w:p>
      <w:pPr>
        <w:pStyle w:val="BodyText"/>
        <w:bidi w:val="0"/>
        <w:rPr/>
      </w:pPr>
      <w:r>
        <w:rPr>
          <w:rStyle w:val="Strong"/>
        </w:rPr>
        <w:t>Remain on Lightsail while:</w:t>
      </w:r>
      <w:r>
        <w:rPr/>
        <w:t xml:space="preserve"> traffic is predictable and bounded; the estate comprises one to a handful of servers; the team is small and operations time is scarce; and cost certainty matters more than optimisation.</w:t>
      </w:r>
    </w:p>
    <w:p>
      <w:pPr>
        <w:pStyle w:val="BodyText"/>
        <w:bidi w:val="0"/>
        <w:rPr/>
      </w:pPr>
      <w:r>
        <w:rPr>
          <w:rStyle w:val="Strong"/>
        </w:rPr>
        <w:t>Migrate to EC2 when:</w:t>
      </w:r>
      <w:r>
        <w:rPr/>
        <w:t xml:space="preserve"> auto scaling or spiky traffic handling is required; a single instance must exceed 64 GB of memory or 16 vCPU; fine-grained IAM or custom VPC design is required; or Savings Plans and Spot economics would materially reduce the bill.</w:t>
      </w:r>
    </w:p>
    <w:p>
      <w:pPr>
        <w:pStyle w:val="BodyText"/>
        <w:bidi w:val="0"/>
        <w:rPr/>
      </w:pPr>
      <w:r>
        <w:rPr>
          <w:rStyle w:val="Strong"/>
        </w:rPr>
        <w:t>The migration procedure:</w:t>
      </w:r>
    </w:p>
    <w:p>
      <w:pPr>
        <w:pStyle w:val="BodyText"/>
        <w:numPr>
          <w:ilvl w:val="0"/>
          <w:numId w:val="15"/>
        </w:numPr>
        <w:tabs>
          <w:tab w:val="clear" w:pos="1134"/>
          <w:tab w:val="left" w:pos="709" w:leader="none"/>
        </w:tabs>
        <w:bidi w:val="0"/>
        <w:spacing w:before="0" w:after="0"/>
        <w:ind w:hanging="283" w:left="709"/>
        <w:rPr/>
      </w:pPr>
      <w:r>
        <w:rPr/>
        <w:t xml:space="preserve">Take a snapshot of the Lightsail instance. </w:t>
      </w:r>
    </w:p>
    <w:p>
      <w:pPr>
        <w:pStyle w:val="BodyText"/>
        <w:numPr>
          <w:ilvl w:val="0"/>
          <w:numId w:val="15"/>
        </w:numPr>
        <w:tabs>
          <w:tab w:val="clear" w:pos="1134"/>
          <w:tab w:val="left" w:pos="709" w:leader="none"/>
        </w:tabs>
        <w:bidi w:val="0"/>
        <w:spacing w:before="0" w:after="0"/>
        <w:ind w:hanging="283" w:left="709"/>
        <w:rPr/>
      </w:pPr>
      <w:r>
        <w:rPr/>
        <w:t xml:space="preserve">Export the snapshot to Amazon EC2. AWS creates an Amazon Machine Image (AMI) and an EBS snapshot in the same account and Region. </w:t>
      </w:r>
    </w:p>
    <w:p>
      <w:pPr>
        <w:pStyle w:val="BodyText"/>
        <w:numPr>
          <w:ilvl w:val="0"/>
          <w:numId w:val="15"/>
        </w:numPr>
        <w:tabs>
          <w:tab w:val="clear" w:pos="1134"/>
          <w:tab w:val="left" w:pos="709" w:leader="none"/>
        </w:tabs>
        <w:bidi w:val="0"/>
        <w:spacing w:before="0" w:after="0"/>
        <w:ind w:hanging="283" w:left="709"/>
        <w:rPr/>
      </w:pPr>
      <w:r>
        <w:rPr/>
        <w:t xml:space="preserve">Launch the AMI using the </w:t>
      </w:r>
      <w:r>
        <w:rPr>
          <w:rStyle w:val="Emphasis"/>
        </w:rPr>
        <w:t>Upgrade to EC2</w:t>
      </w:r>
      <w:r>
        <w:rPr/>
        <w:t xml:space="preserve"> wizard in the Lightsail console, or through the normal EC2 launch process for full control over networking and instance type. </w:t>
      </w:r>
    </w:p>
    <w:p>
      <w:pPr>
        <w:pStyle w:val="BodyText"/>
        <w:numPr>
          <w:ilvl w:val="0"/>
          <w:numId w:val="15"/>
        </w:numPr>
        <w:tabs>
          <w:tab w:val="clear" w:pos="1134"/>
          <w:tab w:val="left" w:pos="709" w:leader="none"/>
        </w:tabs>
        <w:bidi w:val="0"/>
        <w:spacing w:before="0" w:after="0"/>
        <w:ind w:hanging="283" w:left="709"/>
        <w:rPr/>
      </w:pPr>
      <w:r>
        <w:rPr/>
        <w:t xml:space="preserve">Reconfigure networking — security groups, Elastic IP, load balancer — since Lightsail's managed equivalents do not transfer. </w:t>
      </w:r>
    </w:p>
    <w:p>
      <w:pPr>
        <w:pStyle w:val="BodyText"/>
        <w:numPr>
          <w:ilvl w:val="0"/>
          <w:numId w:val="15"/>
        </w:numPr>
        <w:tabs>
          <w:tab w:val="clear" w:pos="1134"/>
          <w:tab w:val="left" w:pos="709" w:leader="none"/>
        </w:tabs>
        <w:bidi w:val="0"/>
        <w:ind w:hanging="283" w:left="709"/>
        <w:rPr/>
      </w:pPr>
      <w:r>
        <w:rPr/>
        <w:t xml:space="preserve">Cut DNS over and decommission the Lightsail resources. </w:t>
      </w:r>
    </w:p>
    <w:p>
      <w:pPr>
        <w:pStyle w:val="BodyText"/>
        <w:bidi w:val="0"/>
        <w:rPr/>
      </w:pPr>
      <w:r>
        <w:rPr/>
        <w:t xml:space="preserve">The essential point is that the disk image is standard AWS. Migration is a </w:t>
      </w:r>
      <w:r>
        <w:rPr>
          <w:rStyle w:val="Strong"/>
        </w:rPr>
        <w:t>copy</w:t>
      </w:r>
      <w:r>
        <w:rPr/>
        <w:t>, not a rewrite. This is the strategic argument for choosing Lightsail over an independent VPS provider: the exit is a supported first-party workflow rather than a server rebuild on someone else's platform.</w:t>
      </w:r>
    </w:p>
    <w:p>
      <w:pPr>
        <w:pStyle w:val="HorizontalLine"/>
        <w:bidi w:val="0"/>
        <w:jc w:val="left"/>
        <w:rPr/>
      </w:pPr>
      <w:r>
        <w:rPr/>
      </w:r>
    </w:p>
    <w:p>
      <w:pPr>
        <w:pStyle w:val="Heading2"/>
        <w:bidi w:val="0"/>
        <w:ind w:hanging="0" w:left="0" w:right="0"/>
        <w:jc w:val="left"/>
        <w:rPr/>
      </w:pPr>
      <w:bookmarkStart w:id="46" w:name="13-conclusion"/>
      <w:bookmarkEnd w:id="46"/>
      <w:r>
        <w:rPr/>
        <w:t>13. Conclusion</w:t>
      </w:r>
    </w:p>
    <w:p>
      <w:pPr>
        <w:pStyle w:val="BodyText"/>
        <w:bidi w:val="0"/>
        <w:rPr/>
      </w:pPr>
      <w:r>
        <w:rPr/>
        <w:t xml:space="preserve">Amazon Lightsail occupies a genuinely distinct position in the cloud service taxonomy. It is not Infrastructure-as-a-Service, because the operating system and application runtime arrive pre-built; and it is not Platform-as-a-Service, because the customer keeps root and therefore keeps the patching obligation. </w:t>
      </w:r>
      <w:r>
        <w:rPr>
          <w:rStyle w:val="Emphasis"/>
        </w:rPr>
        <w:t>PaaS-Lite</w:t>
      </w:r>
      <w:r>
        <w:rPr/>
        <w:t xml:space="preserve"> describes that hybrid accurately: PaaS convenience on the first day, IaaS control on the second.</w:t>
      </w:r>
    </w:p>
    <w:p>
      <w:pPr>
        <w:pStyle w:val="BodyText"/>
        <w:bidi w:val="0"/>
        <w:rPr/>
      </w:pPr>
      <w:r>
        <w:rPr/>
        <w:t>Four conclusions follow from this study.</w:t>
      </w:r>
    </w:p>
    <w:p>
      <w:pPr>
        <w:pStyle w:val="BodyText"/>
        <w:bidi w:val="0"/>
        <w:rPr/>
      </w:pPr>
      <w:r>
        <w:rPr>
          <w:rStyle w:val="Strong"/>
        </w:rPr>
        <w:t>First, Lightsail sells predictability rather than power.</w:t>
      </w:r>
      <w:r>
        <w:rPr/>
        <w:t xml:space="preserve"> The bundle is a price known before deployment, and every other design decision — the small menu, the opinionated defaults, the absence of discount instruments — follows from that single commercial commitment.</w:t>
      </w:r>
    </w:p>
    <w:p>
      <w:pPr>
        <w:pStyle w:val="BodyText"/>
        <w:bidi w:val="0"/>
        <w:rPr/>
      </w:pPr>
      <w:r>
        <w:rPr>
          <w:rStyle w:val="Strong"/>
        </w:rPr>
        <w:t>Second, the economic advantage is narrower than commonly claimed and lies in bandwidth.</w:t>
      </w:r>
      <w:r>
        <w:rPr/>
        <w:t xml:space="preserve"> The cost model in Section 6.3 shows compute and storage to be broadly comparable with EC2 list prices; the difference is almost entirely the included data-transfer allowance and the public IPv4 address. Against an EC2 deployment under a Savings Plan and with modest egress, Lightsail's advantage is real but small.</w:t>
      </w:r>
    </w:p>
    <w:p>
      <w:pPr>
        <w:pStyle w:val="BodyText"/>
        <w:bidi w:val="0"/>
        <w:rPr/>
      </w:pPr>
      <w:r>
        <w:rPr>
          <w:rStyle w:val="Strong"/>
        </w:rPr>
        <w:t>Third, the service's simplicity does not extend to security.</w:t>
      </w:r>
      <w:r>
        <w:rPr/>
        <w:t xml:space="preserve"> Root access means retained responsibility, and the ease of provisioning makes unpatched instances easy to accumulate. This is the service's most under-discussed liability.</w:t>
      </w:r>
    </w:p>
    <w:p>
      <w:pPr>
        <w:pStyle w:val="BodyText"/>
        <w:bidi w:val="0"/>
        <w:rPr/>
      </w:pPr>
      <w:r>
        <w:rPr>
          <w:rStyle w:val="Strong"/>
        </w:rPr>
        <w:t>Fourth, its limitations are best read as exit signs.</w:t>
      </w:r>
      <w:r>
        <w:rPr/>
        <w:t xml:space="preserve"> The absence of auto scaling, Savings Plans and fine-grained IAM are not oversights but the price of the proposition, and each marks the boundary at which a workload should move.</w:t>
      </w:r>
    </w:p>
    <w:p>
      <w:pPr>
        <w:pStyle w:val="BodyText"/>
        <w:bidi w:val="0"/>
        <w:rPr/>
      </w:pPr>
      <w:r>
        <w:rPr/>
        <w:t xml:space="preserve">The final assessment is that Lightsail should not be understood as a cheaper AWS but as a deliberately </w:t>
      </w:r>
      <w:r>
        <w:rPr>
          <w:rStyle w:val="Strong"/>
        </w:rPr>
        <w:t>narrower</w:t>
      </w:r>
      <w:r>
        <w:rPr/>
        <w:t xml:space="preserve"> one — a service engineered with a documented export path precisely because outgrowing it is the expected outcome rather than a failure. Judged against that intent, it succeeds: it removes the decision burden, the cost uncertainty and the skills barrier that keep small operators off the cloud, and it does so without creating an architectural dead end.</w:t>
      </w:r>
    </w:p>
    <w:p>
      <w:pPr>
        <w:pStyle w:val="HorizontalLine"/>
        <w:bidi w:val="0"/>
        <w:jc w:val="left"/>
        <w:rPr/>
      </w:pPr>
      <w:r>
        <w:rPr/>
      </w:r>
    </w:p>
    <w:p>
      <w:pPr>
        <w:pStyle w:val="Heading2"/>
        <w:bidi w:val="0"/>
        <w:ind w:hanging="0" w:left="0" w:right="0"/>
        <w:jc w:val="left"/>
        <w:rPr/>
      </w:pPr>
      <w:bookmarkStart w:id="47" w:name="14-references"/>
      <w:bookmarkEnd w:id="47"/>
      <w:r>
        <w:rPr/>
        <w:t>14. References</w:t>
      </w:r>
    </w:p>
    <w:p>
      <w:pPr>
        <w:pStyle w:val="BodyText"/>
        <w:numPr>
          <w:ilvl w:val="0"/>
          <w:numId w:val="16"/>
        </w:numPr>
        <w:tabs>
          <w:tab w:val="clear" w:pos="1134"/>
          <w:tab w:val="left" w:pos="709" w:leader="none"/>
        </w:tabs>
        <w:bidi w:val="0"/>
        <w:spacing w:before="0" w:after="0"/>
        <w:ind w:hanging="283" w:left="709"/>
        <w:rPr/>
      </w:pPr>
      <w:r>
        <w:rPr/>
        <w:t xml:space="preserve">Amazon Web Services. </w:t>
      </w:r>
      <w:r>
        <w:rPr>
          <w:rStyle w:val="Emphasis"/>
        </w:rPr>
        <w:t>Amazon Lightsail — Pricing.</w:t>
      </w:r>
      <w:r>
        <w:rPr/>
        <w:t xml:space="preserve"> https://aws.amazon.com/lightsail/pricing/ </w:t>
      </w:r>
    </w:p>
    <w:p>
      <w:pPr>
        <w:pStyle w:val="BodyText"/>
        <w:numPr>
          <w:ilvl w:val="0"/>
          <w:numId w:val="16"/>
        </w:numPr>
        <w:tabs>
          <w:tab w:val="clear" w:pos="1134"/>
          <w:tab w:val="left" w:pos="709" w:leader="none"/>
        </w:tabs>
        <w:bidi w:val="0"/>
        <w:spacing w:before="0" w:after="0"/>
        <w:ind w:hanging="283" w:left="709"/>
        <w:rPr/>
      </w:pPr>
      <w:r>
        <w:rPr/>
        <w:t xml:space="preserve">Amazon Web Services. </w:t>
      </w:r>
      <w:r>
        <w:rPr>
          <w:rStyle w:val="Emphasis"/>
        </w:rPr>
        <w:t>Amazon Lightsail User Guide</w:t>
      </w:r>
      <w:r>
        <w:rPr/>
        <w:t xml:space="preserve"> — instance bundles, blueprints, buckets, container services, baseline CPU performance and account quotas. https://docs.aws.amazon.com/lightsail/ </w:t>
      </w:r>
    </w:p>
    <w:p>
      <w:pPr>
        <w:pStyle w:val="BodyText"/>
        <w:numPr>
          <w:ilvl w:val="0"/>
          <w:numId w:val="16"/>
        </w:numPr>
        <w:tabs>
          <w:tab w:val="clear" w:pos="1134"/>
          <w:tab w:val="left" w:pos="709" w:leader="none"/>
        </w:tabs>
        <w:bidi w:val="0"/>
        <w:spacing w:before="0" w:after="0"/>
        <w:ind w:hanging="283" w:left="709"/>
        <w:rPr/>
      </w:pPr>
      <w:r>
        <w:rPr/>
        <w:t xml:space="preserve">Amazon Web Services. </w:t>
      </w:r>
      <w:r>
        <w:rPr>
          <w:rStyle w:val="Emphasis"/>
        </w:rPr>
        <w:t>Amazon Lightsail FAQs.</w:t>
      </w:r>
      <w:r>
        <w:rPr/>
        <w:t xml:space="preserve"> https://aws.amazon.com/lightsail/faq/ </w:t>
      </w:r>
    </w:p>
    <w:p>
      <w:pPr>
        <w:pStyle w:val="BodyText"/>
        <w:numPr>
          <w:ilvl w:val="0"/>
          <w:numId w:val="16"/>
        </w:numPr>
        <w:tabs>
          <w:tab w:val="clear" w:pos="1134"/>
          <w:tab w:val="left" w:pos="709" w:leader="none"/>
        </w:tabs>
        <w:bidi w:val="0"/>
        <w:spacing w:before="0" w:after="0"/>
        <w:ind w:hanging="283" w:left="709"/>
        <w:rPr/>
      </w:pPr>
      <w:r>
        <w:rPr/>
        <w:t xml:space="preserve">Amazon Web Services. "Announcing memory-optimized instance bundles for Amazon Lightsail." </w:t>
      </w:r>
      <w:r>
        <w:rPr>
          <w:rStyle w:val="Emphasis"/>
        </w:rPr>
        <w:t>AWS What's New</w:t>
      </w:r>
      <w:r>
        <w:rPr/>
        <w:t xml:space="preserve">, 2 February 2026. </w:t>
      </w:r>
    </w:p>
    <w:p>
      <w:pPr>
        <w:pStyle w:val="BodyText"/>
        <w:numPr>
          <w:ilvl w:val="0"/>
          <w:numId w:val="16"/>
        </w:numPr>
        <w:tabs>
          <w:tab w:val="clear" w:pos="1134"/>
          <w:tab w:val="left" w:pos="709" w:leader="none"/>
        </w:tabs>
        <w:bidi w:val="0"/>
        <w:spacing w:before="0" w:after="0"/>
        <w:ind w:hanging="283" w:left="709"/>
        <w:rPr/>
      </w:pPr>
      <w:r>
        <w:rPr/>
        <w:t xml:space="preserve">Amazon Web Services. "Announcing compute-optimized instance bundles for Amazon Lightsail." </w:t>
      </w:r>
      <w:r>
        <w:rPr>
          <w:rStyle w:val="Emphasis"/>
        </w:rPr>
        <w:t>AWS What's New</w:t>
      </w:r>
      <w:r>
        <w:rPr/>
        <w:t xml:space="preserve">, April 2026. </w:t>
      </w:r>
    </w:p>
    <w:p>
      <w:pPr>
        <w:pStyle w:val="BodyText"/>
        <w:numPr>
          <w:ilvl w:val="0"/>
          <w:numId w:val="16"/>
        </w:numPr>
        <w:tabs>
          <w:tab w:val="clear" w:pos="1134"/>
          <w:tab w:val="left" w:pos="709" w:leader="none"/>
        </w:tabs>
        <w:bidi w:val="0"/>
        <w:spacing w:before="0" w:after="0"/>
        <w:ind w:hanging="283" w:left="709"/>
        <w:rPr/>
      </w:pPr>
      <w:r>
        <w:rPr/>
        <w:t xml:space="preserve">Amazon Web Services. "Amazon Lightsail expands blueprint selection with updated support for Node.js, LAMP, and Ruby on Rails blueprints." </w:t>
      </w:r>
      <w:r>
        <w:rPr>
          <w:rStyle w:val="Emphasis"/>
        </w:rPr>
        <w:t>AWS What's New</w:t>
      </w:r>
      <w:r>
        <w:rPr/>
        <w:t xml:space="preserve">, January 2026. </w:t>
      </w:r>
    </w:p>
    <w:p>
      <w:pPr>
        <w:pStyle w:val="BodyText"/>
        <w:numPr>
          <w:ilvl w:val="0"/>
          <w:numId w:val="16"/>
        </w:numPr>
        <w:tabs>
          <w:tab w:val="clear" w:pos="1134"/>
          <w:tab w:val="left" w:pos="709" w:leader="none"/>
        </w:tabs>
        <w:bidi w:val="0"/>
        <w:spacing w:before="0" w:after="0"/>
        <w:ind w:hanging="283" w:left="709"/>
        <w:rPr/>
      </w:pPr>
      <w:r>
        <w:rPr/>
        <w:t xml:space="preserve">Amazon Web Services. "Announcing larger managed database bundles for Amazon Lightsail." </w:t>
      </w:r>
      <w:r>
        <w:rPr>
          <w:rStyle w:val="Emphasis"/>
        </w:rPr>
        <w:t>AWS What's New</w:t>
      </w:r>
      <w:r>
        <w:rPr/>
        <w:t xml:space="preserve">, January 2026. </w:t>
      </w:r>
    </w:p>
    <w:p>
      <w:pPr>
        <w:pStyle w:val="BodyText"/>
        <w:numPr>
          <w:ilvl w:val="0"/>
          <w:numId w:val="16"/>
        </w:numPr>
        <w:tabs>
          <w:tab w:val="clear" w:pos="1134"/>
          <w:tab w:val="left" w:pos="709" w:leader="none"/>
        </w:tabs>
        <w:bidi w:val="0"/>
        <w:spacing w:before="0" w:after="0"/>
        <w:ind w:hanging="283" w:left="709"/>
        <w:rPr/>
      </w:pPr>
      <w:r>
        <w:rPr/>
        <w:t xml:space="preserve">Amazon Web Services. "Amazon Lightsail is now available in three additional AWS Regions." </w:t>
      </w:r>
      <w:r>
        <w:rPr>
          <w:rStyle w:val="Emphasis"/>
        </w:rPr>
        <w:t>AWS What's New</w:t>
      </w:r>
      <w:r>
        <w:rPr/>
        <w:t xml:space="preserve">, June 2026. </w:t>
      </w:r>
    </w:p>
    <w:p>
      <w:pPr>
        <w:pStyle w:val="BodyText"/>
        <w:numPr>
          <w:ilvl w:val="0"/>
          <w:numId w:val="16"/>
        </w:numPr>
        <w:tabs>
          <w:tab w:val="clear" w:pos="1134"/>
          <w:tab w:val="left" w:pos="709" w:leader="none"/>
        </w:tabs>
        <w:bidi w:val="0"/>
        <w:spacing w:before="0" w:after="0"/>
        <w:ind w:hanging="283" w:left="709"/>
        <w:rPr/>
      </w:pPr>
      <w:r>
        <w:rPr/>
        <w:t xml:space="preserve">Amazon Web Services. </w:t>
      </w:r>
      <w:r>
        <w:rPr>
          <w:rStyle w:val="Emphasis"/>
        </w:rPr>
        <w:t>Blueprints packaged by Bitnami</w:t>
      </w:r>
      <w:r>
        <w:rPr/>
        <w:t xml:space="preserve"> — deprecation schedule 2026–2027. Amazon Lightsail documentation. </w:t>
      </w:r>
    </w:p>
    <w:p>
      <w:pPr>
        <w:pStyle w:val="BodyText"/>
        <w:numPr>
          <w:ilvl w:val="0"/>
          <w:numId w:val="16"/>
        </w:numPr>
        <w:tabs>
          <w:tab w:val="clear" w:pos="1134"/>
          <w:tab w:val="left" w:pos="709" w:leader="none"/>
        </w:tabs>
        <w:bidi w:val="0"/>
        <w:spacing w:before="0" w:after="0"/>
        <w:ind w:hanging="283" w:left="709"/>
        <w:rPr/>
      </w:pPr>
      <w:r>
        <w:rPr/>
        <w:t xml:space="preserve">Amazon Web Services. </w:t>
      </w:r>
      <w:r>
        <w:rPr>
          <w:rStyle w:val="Emphasis"/>
        </w:rPr>
        <w:t>Export Lightsail snapshots to Amazon EC2</w:t>
      </w:r>
      <w:r>
        <w:rPr/>
        <w:t xml:space="preserve"> and </w:t>
      </w:r>
      <w:r>
        <w:rPr>
          <w:rStyle w:val="Emphasis"/>
        </w:rPr>
        <w:t>Create Amazon EC2 instances from exported Lightsail snapshots.</w:t>
      </w:r>
      <w:r>
        <w:rPr/>
        <w:t xml:space="preserve"> Amazon Lightsail documentation. </w:t>
      </w:r>
    </w:p>
    <w:p>
      <w:pPr>
        <w:pStyle w:val="BodyText"/>
        <w:numPr>
          <w:ilvl w:val="0"/>
          <w:numId w:val="16"/>
        </w:numPr>
        <w:tabs>
          <w:tab w:val="clear" w:pos="1134"/>
          <w:tab w:val="left" w:pos="709" w:leader="none"/>
        </w:tabs>
        <w:bidi w:val="0"/>
        <w:spacing w:before="0" w:after="0"/>
        <w:ind w:hanging="283" w:left="709"/>
        <w:rPr/>
      </w:pPr>
      <w:r>
        <w:rPr/>
        <w:t xml:space="preserve">Amazon Web Services. "Amazon Lightsail Now Provides an Upgrade Path to EC2." </w:t>
      </w:r>
      <w:r>
        <w:rPr>
          <w:rStyle w:val="Emphasis"/>
        </w:rPr>
        <w:t>AWS What's New</w:t>
      </w:r>
      <w:r>
        <w:rPr/>
        <w:t xml:space="preserve">, November 2018. </w:t>
      </w:r>
    </w:p>
    <w:p>
      <w:pPr>
        <w:pStyle w:val="BodyText"/>
        <w:numPr>
          <w:ilvl w:val="0"/>
          <w:numId w:val="16"/>
        </w:numPr>
        <w:tabs>
          <w:tab w:val="clear" w:pos="1134"/>
          <w:tab w:val="left" w:pos="709" w:leader="none"/>
        </w:tabs>
        <w:bidi w:val="0"/>
        <w:spacing w:before="0" w:after="0"/>
        <w:ind w:hanging="283" w:left="709"/>
        <w:rPr/>
      </w:pPr>
      <w:r>
        <w:rPr/>
        <w:t xml:space="preserve">AWS re:Post. "Compare Amazon EC2 and Amazon Lightsail." </w:t>
      </w:r>
      <w:r>
        <w:rPr>
          <w:rStyle w:val="Emphasis"/>
        </w:rPr>
        <w:t>AWS Knowledge Center.</w:t>
      </w:r>
      <w:r>
        <w:rPr/>
        <w:t xml:space="preserve"> </w:t>
      </w:r>
    </w:p>
    <w:p>
      <w:pPr>
        <w:pStyle w:val="BodyText"/>
        <w:numPr>
          <w:ilvl w:val="0"/>
          <w:numId w:val="16"/>
        </w:numPr>
        <w:tabs>
          <w:tab w:val="clear" w:pos="1134"/>
          <w:tab w:val="left" w:pos="709" w:leader="none"/>
        </w:tabs>
        <w:bidi w:val="0"/>
        <w:spacing w:before="0" w:after="0"/>
        <w:ind w:hanging="283" w:left="709"/>
        <w:rPr/>
      </w:pPr>
      <w:r>
        <w:rPr/>
        <w:t xml:space="preserve">Amazon Web Services. </w:t>
      </w:r>
      <w:r>
        <w:rPr>
          <w:rStyle w:val="Emphasis"/>
        </w:rPr>
        <w:t>Amazon EC2 On-Demand Pricing</w:t>
      </w:r>
      <w:r>
        <w:rPr/>
        <w:t xml:space="preserve"> and </w:t>
      </w:r>
      <w:r>
        <w:rPr>
          <w:rStyle w:val="Emphasis"/>
        </w:rPr>
        <w:t>Amazon EBS Pricing</w:t>
      </w:r>
      <w:r>
        <w:rPr/>
        <w:t xml:space="preserve">, us-east-1 — used to construct the cost model in Section 6.3. </w:t>
      </w:r>
    </w:p>
    <w:p>
      <w:pPr>
        <w:pStyle w:val="BodyText"/>
        <w:numPr>
          <w:ilvl w:val="0"/>
          <w:numId w:val="16"/>
        </w:numPr>
        <w:tabs>
          <w:tab w:val="clear" w:pos="1134"/>
          <w:tab w:val="left" w:pos="709" w:leader="none"/>
        </w:tabs>
        <w:bidi w:val="0"/>
        <w:spacing w:before="0" w:after="0"/>
        <w:ind w:hanging="283" w:left="709"/>
        <w:rPr/>
      </w:pPr>
      <w:r>
        <w:rPr/>
        <w:t xml:space="preserve">Barr, J. "Amazon Lightsail — the Power of AWS, the Simplicity of a VPS." </w:t>
      </w:r>
      <w:r>
        <w:rPr>
          <w:rStyle w:val="Emphasis"/>
        </w:rPr>
        <w:t>AWS News Blog</w:t>
      </w:r>
      <w:r>
        <w:rPr/>
        <w:t xml:space="preserve">, 30 November 2016. </w:t>
      </w:r>
    </w:p>
    <w:p>
      <w:pPr>
        <w:pStyle w:val="BodyText"/>
        <w:numPr>
          <w:ilvl w:val="0"/>
          <w:numId w:val="16"/>
        </w:numPr>
        <w:tabs>
          <w:tab w:val="clear" w:pos="1134"/>
          <w:tab w:val="left" w:pos="709" w:leader="none"/>
        </w:tabs>
        <w:bidi w:val="0"/>
        <w:spacing w:before="0" w:after="0"/>
        <w:ind w:hanging="283" w:left="709"/>
        <w:rPr/>
      </w:pPr>
      <w:r>
        <w:rPr/>
        <w:t xml:space="preserve">Amazon Web Services. "New — Amazon Lightsail for Research with All-in-One Research Environments." </w:t>
      </w:r>
      <w:r>
        <w:rPr>
          <w:rStyle w:val="Emphasis"/>
        </w:rPr>
        <w:t>AWS News Blog.</w:t>
      </w:r>
      <w:r>
        <w:rPr/>
        <w:t xml:space="preserve"> </w:t>
      </w:r>
    </w:p>
    <w:p>
      <w:pPr>
        <w:pStyle w:val="BodyText"/>
        <w:numPr>
          <w:ilvl w:val="0"/>
          <w:numId w:val="16"/>
        </w:numPr>
        <w:tabs>
          <w:tab w:val="clear" w:pos="1134"/>
          <w:tab w:val="left" w:pos="709" w:leader="none"/>
        </w:tabs>
        <w:bidi w:val="0"/>
        <w:ind w:hanging="283" w:left="709"/>
        <w:rPr/>
      </w:pPr>
      <w:r>
        <w:rPr/>
        <w:t xml:space="preserve">DigitalOcean, Akamai (Linode), Heroku and Microsoft Azure published price lists, consulted August 2026 for the comparison in Section 8.2. </w:t>
      </w:r>
    </w:p>
    <w:p>
      <w:pPr>
        <w:pStyle w:val="HorizontalLine"/>
        <w:bidi w:val="0"/>
        <w:jc w:val="left"/>
        <w:rPr/>
      </w:pPr>
      <w:r>
        <w:rPr/>
      </w:r>
    </w:p>
    <w:p>
      <w:pPr>
        <w:pStyle w:val="BodyText"/>
        <w:bidi w:val="0"/>
        <w:spacing w:before="0" w:after="170"/>
        <w:rPr/>
      </w:pPr>
      <w:r>
        <w:rPr>
          <w:rStyle w:val="Emphasis"/>
        </w:rPr>
        <w:t>Prepared by Hridiyansh Shukla · Registration No. 2427030591 · August 2026</w:t>
      </w:r>
    </w:p>
    <w:sectPr>
      <w:type w:val="nextPage"/>
      <w:pgSz w:w="11906" w:h="16838"/>
      <w:pgMar w:left="1020" w:right="1020" w:gutter="0" w:header="0" w:top="1134" w:footer="0" w:bottom="1020"/>
      <w:pgNumType w:fmt="decimal"/>
      <w:formProt w:val="false"/>
      <w:titlePg/>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ambria">
    <w:altName w:val="Caladea"/>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Carlito;sans-serif" w:hAnsi="Calibri;Carlito;sans-serif" w:eastAsia="Calibri;Carlito;sans-serif" w:cs="Calibri;Carlito;sans-serif"/>
      <w:color w:val="232F3E"/>
      <w:sz w:val="21"/>
      <w:szCs w:val="21"/>
      <w:lang w:val="en-US" w:eastAsia="zh-CN" w:bidi="hi-IN"/>
    </w:rPr>
  </w:style>
  <w:style w:type="paragraph" w:styleId="Heading1">
    <w:name w:val="Heading 1"/>
    <w:basedOn w:val="Heading"/>
    <w:next w:val="BodyText"/>
    <w:qFormat/>
    <w:pPr>
      <w:spacing w:lineRule="auto" w:line="273" w:before="240" w:after="113"/>
    </w:pPr>
    <w:rPr>
      <w:rFonts w:ascii="Cambria;Caladea;serif" w:hAnsi="Cambria;Caladea;serif" w:eastAsia="Cambria;Caladea;serif" w:cs="Cambria;Caladea;serif"/>
      <w:b/>
      <w:bCs/>
      <w:color w:val="232F3E"/>
      <w:sz w:val="48"/>
      <w:szCs w:val="48"/>
    </w:rPr>
  </w:style>
  <w:style w:type="paragraph" w:styleId="Heading2">
    <w:name w:val="Heading 2"/>
    <w:basedOn w:val="Heading"/>
    <w:next w:val="BodyText"/>
    <w:qFormat/>
    <w:pPr>
      <w:pBdr>
        <w:bottom w:val="single" w:sz="12" w:space="4" w:color="FF9900"/>
      </w:pBdr>
      <w:spacing w:before="510" w:after="170"/>
      <w:ind w:left="510" w:right="510"/>
      <w:outlineLvl w:val="1"/>
    </w:pPr>
    <w:rPr>
      <w:rFonts w:ascii="Cambria;Caladea;serif" w:hAnsi="Cambria;Caladea;serif" w:eastAsia="Cambria;Caladea;serif" w:cs="Cambria;Caladea;serif"/>
      <w:b/>
      <w:bCs/>
      <w:color w:val="232F3E"/>
      <w:sz w:val="30"/>
      <w:szCs w:val="30"/>
    </w:rPr>
  </w:style>
  <w:style w:type="paragraph" w:styleId="Heading3">
    <w:name w:val="Heading 3"/>
    <w:basedOn w:val="Heading"/>
    <w:next w:val="BodyText"/>
    <w:qFormat/>
    <w:pPr>
      <w:spacing w:before="340" w:after="113"/>
      <w:ind w:left="340" w:right="340"/>
      <w:outlineLvl w:val="2"/>
    </w:pPr>
    <w:rPr>
      <w:rFonts w:ascii="Cambria;Caladea;serif" w:hAnsi="Cambria;Caladea;serif" w:eastAsia="Cambria;Caladea;serif" w:cs="Cambria;Caladea;serif"/>
      <w:b w:val="false"/>
      <w:bCs w:val="false"/>
      <w:i/>
      <w:iCs/>
      <w:color w:val="33475B"/>
      <w:sz w:val="24"/>
      <w:szCs w:val="24"/>
    </w:rPr>
  </w:style>
  <w:style w:type="paragraph" w:styleId="Heading4">
    <w:name w:val="Heading 4"/>
    <w:basedOn w:val="Heading"/>
    <w:next w:val="BodyText"/>
    <w:qFormat/>
    <w:pPr>
      <w:spacing w:before="227" w:after="85"/>
      <w:ind w:left="227" w:right="227"/>
      <w:outlineLvl w:val="3"/>
    </w:pPr>
    <w:rPr>
      <w:rFonts w:ascii="Calibri;Carlito;sans-serif" w:hAnsi="Calibri;Carlito;sans-serif" w:eastAsia="Calibri;Carlito;sans-serif" w:cs="Calibri;Carlito;sans-serif"/>
      <w:b/>
      <w:bCs/>
      <w:color w:val="33475B"/>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0718F"/>
      <w:u w:val="none"/>
      <w:effect w:val="none"/>
    </w:rPr>
  </w:style>
  <w:style w:type="character" w:styleId="Strong">
    <w:name w:val="Strong"/>
    <w:qFormat/>
    <w:rPr>
      <w:b/>
      <w:bCs/>
      <w:color w:val="232F3E"/>
    </w:rPr>
  </w:style>
  <w:style w:type="character" w:styleId="SourceText">
    <w:name w:val="Source Text"/>
    <w:qFormat/>
    <w:rPr>
      <w:rFonts w:ascii="Courier New;monospace" w:hAnsi="Courier New;monospace" w:eastAsia="Courier New;monospace" w:cs="Courier New;monospace"/>
      <w:sz w:val="18"/>
      <w:szCs w:val="18"/>
    </w:rPr>
  </w:style>
  <w:style w:type="character" w:styleId="Emphasis">
    <w:name w:val="Emphasis"/>
    <w:qFormat/>
    <w:rPr>
      <w:i/>
      <w:iCs/>
    </w:rPr>
  </w:style>
  <w:style w:type="character" w:styleId="NumberingSymbols">
    <w:name w:val="Numbering Symbols"/>
    <w:qFormat/>
    <w:rPr/>
  </w:style>
  <w:style w:type="character" w:styleId="FollowedHyperlink">
    <w:name w:val="FollowedHyperlink"/>
    <w:rPr>
      <w:strike w:val="false"/>
      <w:dstrike w:val="false"/>
      <w:color w:val="00718F"/>
      <w:u w:val="none"/>
      <w:effect w:val="non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17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2newpage">
    <w:name w:val="Heading 2.newpage"/>
    <w:basedOn w:val="Heading2"/>
    <w:qFormat/>
    <w:pPr>
      <w:ind w:hanging="0" w:left="510"/>
      <w:outlineLvl w:val="9"/>
    </w:pPr>
    <w:rPr/>
  </w:style>
  <w:style w:type="paragraph" w:styleId="BodyTextcaption">
    <w:name w:val="Body Text.caption"/>
    <w:basedOn w:val="BodyText"/>
    <w:qFormat/>
    <w:pPr>
      <w:spacing w:before="0" w:after="283"/>
      <w:jc w:val="center"/>
    </w:pPr>
    <w:rPr>
      <w:i/>
      <w:iCs/>
      <w:color w:val="5A6B7B"/>
      <w:sz w:val="17"/>
      <w:szCs w:val="17"/>
    </w:rPr>
  </w:style>
  <w:style w:type="paragraph" w:styleId="BlockQuotation">
    <w:name w:val="Block Quotation"/>
    <w:basedOn w:val="Normal"/>
    <w:qFormat/>
    <w:pPr>
      <w:pBdr>
        <w:top w:val="single" w:sz="6" w:space="7" w:color="FF9900"/>
        <w:left w:val="single" w:sz="6" w:space="11" w:color="FF9900"/>
        <w:bottom w:val="single" w:sz="6" w:space="7" w:color="FF9900"/>
      </w:pBdr>
      <w:shd w:fill="FFF4E2" w:val="clear"/>
      <w:spacing w:before="170" w:after="170"/>
      <w:ind w:hanging="0" w:left="170" w:right="170"/>
    </w:pPr>
    <w:rPr>
      <w:sz w:val="19"/>
      <w:szCs w:val="19"/>
    </w:rPr>
  </w:style>
  <w:style w:type="paragraph" w:styleId="PreformattedText">
    <w:name w:val="Preformatted Text"/>
    <w:basedOn w:val="Normal"/>
    <w:qFormat/>
    <w:pPr>
      <w:pBdr>
        <w:top w:val="single" w:sz="4" w:space="9" w:color="D5DEE5"/>
        <w:left w:val="single" w:sz="4" w:space="9" w:color="D5DEE5"/>
        <w:bottom w:val="single" w:sz="4" w:space="9" w:color="D5DEE5"/>
      </w:pBdr>
      <w:shd w:fill="F4F7F9" w:val="clear"/>
      <w:spacing w:lineRule="auto" w:line="324" w:before="0" w:after="0"/>
    </w:pPr>
    <w:rPr>
      <w:rFonts w:ascii="Courier New;monospace" w:hAnsi="Courier New;monospace" w:eastAsia="Courier New;monospace" w:cs="Courier New;monospace"/>
      <w:sz w:val="16"/>
      <w:szCs w:val="16"/>
    </w:rPr>
  </w:style>
  <w:style w:type="paragraph" w:styleId="TableHeading">
    <w:name w:val="Table Heading"/>
    <w:basedOn w:val="TableContents"/>
    <w:qFormat/>
    <w:pPr>
      <w:suppressLineNumbers/>
      <w:shd w:fill="232F3E"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Amazon Lightsail (PaaS-Lite) — Cloud Infrastructure</dc:title>
</cp:coreProperties>
</file>

<file path=docProps/custom.xml><?xml version="1.0" encoding="utf-8"?>
<Properties xmlns="http://schemas.openxmlformats.org/officeDocument/2006/custom-properties" xmlns:vt="http://schemas.openxmlformats.org/officeDocument/2006/docPropsVTypes"/>
</file>