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2263A"/>
          <w:sz w:val="44"/>
          <w:szCs w:val="44"/>
        </w:rPr>
        <w:t xml:space="preserve">RetainIQ — live demo runbook</w:t>
      </w:r>
    </w:p>
    <w:p>
      <w:pPr>
        <w:spacing w:after="180"/>
      </w:pPr>
      <w:r>
        <w:rPr>
          <w:color w:val="5F6F80"/>
          <w:sz w:val="21"/>
          <w:szCs w:val="21"/>
        </w:rPr>
        <w:t xml:space="preserve">Exact commands to run in front of the panel. Durations measured from a clean checkout on 16 September 2026.</w:t>
      </w:r>
    </w:p>
    <w:p>
      <w:pPr>
        <w:pStyle w:val="Heading1"/>
      </w:pPr>
      <w:r>
        <w:t xml:space="preserve">0. Before the panel walks in</w:t>
      </w:r>
    </w:p>
    <w:p>
      <w:pPr>
        <w:spacing w:after="90"/>
      </w:pPr>
      <w:r>
        <w:rPr>
          <w:b w:val="false"/>
          <w:bCs w:val="false"/>
        </w:rPr>
        <w:t xml:space="preserve">The whole demo is </w:t>
      </w:r>
      <w:r>
        <w:rPr>
          <w:b/>
          <w:bCs/>
        </w:rPr>
        <w:t xml:space="preserve">under seven seconds of computation</w:t>
      </w:r>
      <w:r>
        <w:rPr>
          <w:b w:val="false"/>
          <w:bCs w:val="false"/>
        </w:rPr>
        <w:t xml:space="preserve">. Everything else is you talking, so nothing needs to be rushed. Do this ten minutes early:</w:t>
      </w:r>
    </w:p>
    <w:p>
      <w:pPr>
        <w:shd w:fill="0E1B29" w:color="auto" w:val="clear"/>
        <w:spacing w:after="40" w:before="40"/>
        <w:ind w:left="60" w:right="60"/>
      </w:pPr>
      <w:r>
        <w:rPr>
          <w:rFonts w:ascii="Courier New" w:cs="Courier New" w:eastAsia="Courier New" w:hAnsi="Courier New"/>
          <w:color w:val="D6E2EE"/>
          <w:sz w:val="17"/>
          <w:szCs w:val="17"/>
        </w:rPr>
        <w:t xml:space="preserve">cd ~/Desktop/pbl-proj &amp;&amp; git pull</w:t>
      </w:r>
    </w:p>
    <w:p>
      <w:pPr>
        <w:shd w:fill="0E1B29" w:color="auto" w:val="clear"/>
        <w:spacing w:after="40" w:before="40"/>
        <w:ind w:left="60" w:right="60"/>
      </w:pPr>
      <w:r>
        <w:rPr>
          <w:rFonts w:ascii="Courier New" w:cs="Courier New" w:eastAsia="Courier New" w:hAnsi="Courier New"/>
          <w:color w:val="D6E2EE"/>
          <w:sz w:val="17"/>
          <w:szCs w:val="17"/>
        </w:rPr>
        <w:t xml:space="preserve">make check          # a little over 3 min on mains power, longer on battery — run it NOW, not in front of them</w:t>
      </w:r>
    </w:p>
    <w:p>
      <w:pPr>
        <w:shd w:fill="0E1B29" w:color="auto" w:val="clear"/>
        <w:spacing w:after="40" w:before="40"/>
        <w:ind w:left="60" w:right="60"/>
      </w:pPr>
      <w:r>
        <w:rPr>
          <w:rFonts w:ascii="Courier New" w:cs="Courier New" w:eastAsia="Courier New" w:hAnsi="Courier New"/>
          <w:color w:val="D6E2EE"/>
          <w:sz w:val="17"/>
          <w:szCs w:val="17"/>
        </w:rPr>
        <w:t xml:space="preserve">make sample &amp;&amp; make dashboard &amp;&amp; rm -rf demo   # warm the caches, then clear the demo folder</w:t>
      </w:r>
    </w:p>
    <w:p>
      <w:pPr>
        <w:pStyle w:val="ListParagraph"/>
        <w:numPr>
          <w:ilvl w:val="0"/>
          <w:numId w:val="2"/>
        </w:numPr>
        <w:spacing w:after="60"/>
      </w:pPr>
      <w:r>
        <w:rPr>
          <w:b w:val="false"/>
          <w:bCs w:val="false"/>
        </w:rPr>
        <w:t xml:space="preserve">`make check` must end with </w:t>
      </w:r>
      <w:r>
        <w:rPr>
          <w:b/>
          <w:bCs/>
        </w:rPr>
        <w:t xml:space="preserve">721 passed</w:t>
      </w:r>
      <w:r>
        <w:rPr>
          <w:b w:val="false"/>
          <w:bCs w:val="false"/>
        </w:rPr>
        <w:t xml:space="preserve"> and </w:t>
      </w:r>
      <w:r>
        <w:rPr>
          <w:b/>
          <w:bCs/>
        </w:rPr>
        <w:t xml:space="preserve">RESULT: ALL TARGETS MET</w:t>
      </w:r>
      <w:r>
        <w:rPr>
          <w:b w:val="false"/>
          <w:bCs w:val="false"/>
        </w:rPr>
        <w:t xml:space="preserve"> twice. Now you can quote it, and the Python caches are warm so the live commands are instant.</w:t>
      </w:r>
    </w:p>
    <w:p>
      <w:pPr>
        <w:pStyle w:val="ListParagraph"/>
        <w:numPr>
          <w:ilvl w:val="0"/>
          <w:numId w:val="2"/>
        </w:numPr>
        <w:spacing w:after="60"/>
      </w:pPr>
      <w:r>
        <w:rPr>
          <w:b w:val="false"/>
          <w:bCs w:val="false"/>
        </w:rPr>
        <w:t xml:space="preserve">`rm -rf demo` matters: the refusal in step 3 only happens if the export is regenerated live.</w:t>
      </w:r>
    </w:p>
    <w:p>
      <w:pPr>
        <w:pStyle w:val="ListParagraph"/>
        <w:numPr>
          <w:ilvl w:val="0"/>
          <w:numId w:val="2"/>
        </w:numPr>
        <w:spacing w:after="60"/>
      </w:pPr>
      <w:r>
        <w:rPr>
          <w:b w:val="false"/>
          <w:bCs w:val="false"/>
        </w:rPr>
        <w:t xml:space="preserve">Terminal: full screen, font </w:t>
      </w:r>
      <w:r>
        <w:rPr>
          <w:b/>
          <w:bCs/>
        </w:rPr>
        <w:t xml:space="preserve">18–20 pt</w:t>
      </w:r>
      <w:r>
        <w:rPr>
          <w:b w:val="false"/>
          <w:bCs w:val="false"/>
        </w:rPr>
        <w:t xml:space="preserve">, dark theme, `clear` the scrollback.</w:t>
      </w:r>
    </w:p>
    <w:p>
      <w:pPr>
        <w:pStyle w:val="ListParagraph"/>
        <w:numPr>
          <w:ilvl w:val="0"/>
          <w:numId w:val="2"/>
        </w:numPr>
        <w:spacing w:after="60"/>
      </w:pPr>
      <w:r>
        <w:rPr>
          <w:b w:val="false"/>
          <w:bCs w:val="false"/>
        </w:rPr>
        <w:t xml:space="preserve">Browser: close every tab except one blank one. The pages are self-contained files, so no server and no internet is needed.</w:t>
      </w:r>
    </w:p>
    <w:p>
      <w:pPr>
        <w:pStyle w:val="ListParagraph"/>
        <w:numPr>
          <w:ilvl w:val="0"/>
          <w:numId w:val="2"/>
        </w:numPr>
        <w:spacing w:after="60"/>
      </w:pPr>
      <w:r>
        <w:rPr>
          <w:b w:val="false"/>
          <w:bCs w:val="false"/>
        </w:rPr>
        <w:t xml:space="preserve">Have the demo video open in a paused player on another desktop, as the fallback.</w:t>
      </w:r>
    </w:p>
    <w:p>
      <w:pPr>
        <w:pStyle w:val="ListParagraph"/>
        <w:numPr>
          <w:ilvl w:val="0"/>
          <w:numId w:val="2"/>
        </w:numPr>
        <w:spacing w:after="60"/>
      </w:pPr>
      <w:r>
        <w:rPr>
          <w:b w:val="false"/>
          <w:bCs w:val="false"/>
        </w:rPr>
        <w:t xml:space="preserve">Optional, for a clean prompt: `export PS1="PBL-Proj $ "`</w:t>
      </w:r>
    </w:p>
    <w:p>
      <w:pPr>
        <w:pStyle w:val="Heading1"/>
      </w:pPr>
      <w:r>
        <w:t xml:space="preserve">1. The 60-second version</w:t>
      </w:r>
    </w:p>
    <w:p>
      <w:pPr>
        <w:spacing w:after="90"/>
      </w:pPr>
      <w:r>
        <w:rPr>
          <w:b w:val="false"/>
          <w:bCs w:val="false"/>
        </w:rPr>
        <w:t xml:space="preserve">If the panel says “just show us that it runs”:</w:t>
      </w:r>
    </w:p>
    <w:p>
      <w:pPr>
        <w:shd w:fill="0E1B29" w:color="auto" w:val="clear"/>
        <w:spacing w:after="40" w:before="40"/>
        <w:ind w:left="60" w:right="60"/>
      </w:pPr>
      <w:r>
        <w:rPr>
          <w:rFonts w:ascii="Courier New" w:cs="Courier New" w:eastAsia="Courier New" w:hAnsi="Courier New"/>
          <w:color w:val="D6E2EE"/>
          <w:sz w:val="17"/>
          <w:szCs w:val="17"/>
        </w:rPr>
        <w:t xml:space="preserve">make killtest</w:t>
      </w:r>
    </w:p>
    <w:p>
      <w:pPr>
        <w:spacing w:after="90"/>
      </w:pPr>
      <w:r>
        <w:rPr>
          <w:b w:val="false"/>
          <w:bCs w:val="false"/>
        </w:rPr>
        <w:t xml:space="preserve">Then open the dashboard, point at the banner and at “142 of 472”, and expand one row. Two commands, one page, done.</w:t>
      </w:r>
    </w:p>
    <w:p>
      <w:pPr>
        <w:pStyle w:val="Heading1"/>
      </w:pPr>
      <w:r>
        <w:t xml:space="preserve">2. The full demo — eleven commands, about four minutes</w:t>
      </w:r>
    </w:p>
    <w:p>
      <w:pPr>
        <w:spacing w:after="90"/>
      </w:pPr>
      <w:r>
        <w:rPr>
          <w:b w:val="false"/>
          <w:bCs w:val="false"/>
        </w:rPr>
        <w:t xml:space="preserve">The order matters: the refusal (steps 3–6) is the part panels remember, because it is the opposite of what software usually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2400"/>
        <w:gridCol w:w="2938"/>
      </w:tblGrid>
      <w:tr>
        <w:trPr>
          <w:cantSplit/>
          <w:tblHeader/>
        </w:trPr>
        <w:tc>
          <w:tcPr>
            <w:tcW w:type="dxa" w:w="3500"/>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Type this</w:t>
            </w:r>
          </w:p>
        </w:tc>
        <w:tc>
          <w:tcPr>
            <w:tcW w:type="dxa" w:w="800"/>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Takes</w:t>
            </w:r>
          </w:p>
        </w:tc>
        <w:tc>
          <w:tcPr>
            <w:tcW w:type="dxa" w:w="2400"/>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What appears</w:t>
            </w:r>
          </w:p>
        </w:tc>
        <w:tc>
          <w:tcPr>
            <w:tcW w:type="dxa" w:w="2938"/>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What to say</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make demo-data</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0.7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wrote demo/customers.csv and demo/subscriptions.csv</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“A real engagement starts from a billing export, so here is one, shaped exactly like Stripe's.”</w:t>
            </w:r>
          </w:p>
        </w:tc>
      </w:tr>
      <w:tr>
        <w:trPr>
          <w:cantSplit/>
          <w:tblHeader w:val="false"/>
        </w:trPr>
        <w:tc>
          <w:tcPr>
            <w:tcW w:type="dxa" w:w="35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head -3 demo/subscriptions.csv</w:t>
            </w:r>
          </w:p>
        </w:tc>
        <w:tc>
          <w:tcPr>
            <w:tcW w:type="dxa" w:w="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instant</w:t>
            </w:r>
          </w:p>
        </w:tc>
        <w:tc>
          <w:tcPr>
            <w:tcW w:type="dxa" w:w="24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Stripe column names; first row Plan Amount </w:t>
            </w:r>
            <w:r>
              <w:rPr>
                <w:b/>
                <w:bCs/>
              </w:rPr>
              <w:t xml:space="preserve">18922</w:t>
            </w:r>
            <w:r>
              <w:rPr>
                <w:b w:val="false"/>
                <w:bCs w:val="false"/>
              </w:rPr>
              <w:t xml:space="preserve"/>
            </w:r>
          </w:p>
        </w:tc>
        <w:tc>
          <w:tcPr>
            <w:tcW w:type="dxa" w:w="29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“Stripe exports money in cents. 18922 is 189 dollars and 22 cents. Watch what the system does with that.”</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python -m retainiq.cli preflight --customers demo/customers.csv --subscriptions demo/subscriptions.csv</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0.4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
            </w:r>
            <w:r>
              <w:rPr>
                <w:b/>
                <w:bCs/>
              </w:rPr>
              <w:t xml:space="preserve">VERDICT: BLOCKED</w:t>
            </w:r>
            <w:r>
              <w:rPr>
                <w:b w:val="false"/>
                <w:bCs w:val="false"/>
              </w:rPr>
              <w:t xml:space="preserve">, median MRR 15,312 looks like cents, plus the billing-interval assumption</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“It refuses the file. A report built from this would state every revenue figure a hundred times too high. It does not guess — it asks the business.”</w:t>
            </w:r>
          </w:p>
        </w:tc>
      </w:tr>
      <w:tr>
        <w:trPr>
          <w:cantSplit/>
          <w:tblHeader w:val="false"/>
        </w:trPr>
        <w:tc>
          <w:tcPr>
            <w:tcW w:type="dxa" w:w="35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echo $?</w:t>
            </w:r>
          </w:p>
        </w:tc>
        <w:tc>
          <w:tcPr>
            <w:tcW w:type="dxa" w:w="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instant</w:t>
            </w:r>
          </w:p>
        </w:tc>
        <w:tc>
          <w:tcPr>
            <w:tcW w:type="dxa" w:w="24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
            </w:r>
            <w:r>
              <w:rPr>
                <w:b/>
                <w:bCs/>
              </w:rPr>
              <w:t xml:space="preserve">1</w:t>
            </w:r>
            <w:r>
              <w:rPr>
                <w:b w:val="false"/>
                <w:bCs w:val="false"/>
              </w:rPr>
              <w:t xml:space="preserve"/>
            </w:r>
          </w:p>
        </w:tc>
        <w:tc>
          <w:tcPr>
            <w:tcW w:type="dxa" w:w="29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“And it exits non-zero, so an automated pipeline stops here rather than carrying on.”</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python -m retainiq.cli autopsy --customers demo/customers.csv --subscriptions demo/subscriptions.csv --out demo/blocked.html</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0.5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
            </w:r>
            <w:r>
              <w:rPr>
                <w:b/>
                <w:bCs/>
              </w:rPr>
              <w:t xml:space="preserve">STOPPED.</w:t>
            </w:r>
            <w:r>
              <w:rPr>
                <w:b w:val="false"/>
                <w:bCs w:val="false"/>
              </w:rPr>
              <w:t xml:space="preserve"> Preflight found something that would make the report wrong</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“If I ask for the report anyway, it still refuses.”  (optional, but it lands well)</w:t>
            </w:r>
          </w:p>
        </w:tc>
      </w:tr>
      <w:tr>
        <w:trPr>
          <w:cantSplit/>
          <w:tblHeader w:val="false"/>
        </w:trPr>
        <w:tc>
          <w:tcPr>
            <w:tcW w:type="dxa" w:w="35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ls demo/blocked.html</w:t>
            </w:r>
          </w:p>
        </w:tc>
        <w:tc>
          <w:tcPr>
            <w:tcW w:type="dxa" w:w="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instant</w:t>
            </w:r>
          </w:p>
        </w:tc>
        <w:tc>
          <w:tcPr>
            <w:tcW w:type="dxa" w:w="24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No such file or directory</w:t>
            </w:r>
          </w:p>
        </w:tc>
        <w:tc>
          <w:tcPr>
            <w:tcW w:type="dxa" w:w="29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“And nothing was written.”</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python -m retainiq.cli autopsy --customers demo/customers.csv --subscriptions demo/subscriptions.csv --divide-amounts-by 100 --interval month --name "Acme Analytics (demo)" --out demo/demo_autopsy.html --worklists</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1.3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
            </w:r>
            <w:r>
              <w:rPr>
                <w:b/>
                <w:bCs/>
              </w:rPr>
              <w:t xml:space="preserve">VERDICT: READY</w:t>
            </w:r>
            <w:r>
              <w:rPr>
                <w:b w:val="false"/>
                <w:bCs w:val="false"/>
              </w:rPr>
              <w:t xml:space="preserve">, median 153.12; </w:t>
            </w:r>
            <w:r>
              <w:rPr>
                <w:b/>
                <w:bCs/>
              </w:rPr>
              <w:t xml:space="preserve">currency: USD (read from the export)</w:t>
            </w:r>
            <w:r>
              <w:rPr>
                <w:b w:val="false"/>
                <w:bCs w:val="false"/>
              </w:rPr>
              <w:t xml:space="preserve">; a line saying failed payments will be reported as not measured; writes the report and two worklists</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“Once I confirm the units, the same command runs, and the assumption is recorded in the output. It read the currency from the file, and it tells me up front what it cannot measure without invoices.”</w:t>
            </w:r>
          </w:p>
        </w:tc>
      </w:tr>
      <w:tr>
        <w:trPr>
          <w:cantSplit/>
          <w:tblHeader w:val="false"/>
        </w:trPr>
        <w:tc>
          <w:tcPr>
            <w:tcW w:type="dxa" w:w="35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make killtest</w:t>
            </w:r>
          </w:p>
        </w:tc>
        <w:tc>
          <w:tcPr>
            <w:tcW w:type="dxa" w:w="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1.4 s</w:t>
            </w:r>
          </w:p>
        </w:tc>
        <w:tc>
          <w:tcPr>
            <w:tcW w:type="dxa" w:w="24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AUC 0.700 and the six-policy table</w:t>
            </w:r>
          </w:p>
        </w:tc>
        <w:tc>
          <w:tcPr>
            <w:tcW w:type="dxa" w:w="29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“This is the experiment the project is built on: a churn model with AUC 0.700, and targeting its top 20% loses 22,823 — worse than random at −17,035.”</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make sample &amp;&amp; open sample_churn_autopsy.html</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1.2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The Churn Autopsy report in the browser</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“This is what a business receives. Simulated data, and the page says so first. Losses ranked by money; green is measured, amber is estimated from benchmarks.”</w:t>
            </w:r>
          </w:p>
        </w:tc>
      </w:tr>
      <w:tr>
        <w:trPr>
          <w:cantSplit/>
          <w:tblHeader w:val="false"/>
        </w:trPr>
        <w:tc>
          <w:tcPr>
            <w:tcW w:type="dxa" w:w="35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make dashboard &amp;&amp; open retention_dashboard.html</w:t>
            </w:r>
          </w:p>
        </w:tc>
        <w:tc>
          <w:tcPr>
            <w:tcW w:type="dxa" w:w="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1.8 s</w:t>
            </w:r>
          </w:p>
        </w:tc>
        <w:tc>
          <w:tcPr>
            <w:tcW w:type="dxa" w:w="24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The decision dashboard</w:t>
            </w:r>
          </w:p>
        </w:tc>
        <w:tc>
          <w:tcPr>
            <w:tcW w:type="dxa" w:w="29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“Contact 142 of 472, leave 330 alone. The warning at the top cannot be switched off. Click a row for the reasons; row 1212 is flagged at a 47% chance of paying.”</w:t>
            </w:r>
          </w:p>
        </w:tc>
      </w:tr>
      <w:tr>
        <w:trPr>
          <w:cantSplit/>
          <w:tblHeader w:val="false"/>
        </w:trPr>
        <w:tc>
          <w:tcPr>
            <w:tcW w:type="dxa" w:w="35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B2733"/>
                <w:sz w:val="16"/>
                <w:szCs w:val="16"/>
              </w:rPr>
              <w:t xml:space="preserve">make holdout</w:t>
            </w:r>
          </w:p>
        </w:tc>
        <w:tc>
          <w:tcPr>
            <w:tcW w:type="dxa" w:w="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8.5 s</w:t>
            </w:r>
          </w:p>
        </w:tc>
        <w:tc>
          <w:tcPr>
            <w:tcW w:type="dxa" w:w="24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Estimator validation, then the minimum-detectable-effect table</w:t>
            </w:r>
          </w:p>
        </w:tc>
        <w:tc>
          <w:tcPr>
            <w:tcW w:type="dxa" w:w="29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“Unbiased, 88 to 98% interval coverage — and every size says the effect cannot be detected. You would need about 119,500 customers.”</w:t>
            </w:r>
          </w:p>
        </w:tc>
      </w:tr>
    </w:tbl>
    <w:p>
      <w:pPr>
        <w:spacing w:before="120"/>
      </w:pPr>
      <w:r>
        <w:rPr>
          <w:b w:val="false"/>
          <w:bCs w:val="false"/>
        </w:rPr>
        <w:t xml:space="preserve"/>
      </w:r>
      <w:r>
        <w:rPr>
          <w:b/>
          <w:bCs/>
        </w:rPr>
        <w:t xml:space="preserve">Stop after `make holdout`.</w:t>
      </w:r>
      <w:r>
        <w:rPr>
          <w:b w:val="false"/>
          <w:bCs w:val="false"/>
        </w:rPr>
        <w:t xml:space="preserve"> That is the strongest note to end on: the system measures honestly enough to tell you when it cannot measure at all.</w:t>
      </w:r>
    </w:p>
    <w:p>
      <w:pPr>
        <w:spacing w:after="90"/>
      </w:pPr>
      <w:r>
        <w:br w:type="page"/>
      </w:r>
    </w:p>
    <w:p>
      <w:pPr>
        <w:pStyle w:val="Heading1"/>
      </w:pPr>
      <w:r>
        <w:t xml:space="preserve">3. If they ask for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Command</w:t>
            </w:r>
          </w:p>
        </w:tc>
        <w:tc>
          <w:tcPr>
            <w:tcW w:type="dxa" w:w="5838"/>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What it shows</w:t>
            </w:r>
          </w:p>
        </w:tc>
      </w:tr>
      <w:tr>
        <w:trPr>
          <w:cantSplit/>
          <w:tblHeader w:val="false"/>
        </w:trPr>
        <w:tc>
          <w:tcPr>
            <w:tcW w:type="dxa" w:w="3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python -m retainiq.experiments.leakage_penalty</w:t>
            </w:r>
          </w:p>
        </w:tc>
        <w:tc>
          <w:tcPr>
            <w:tcW w:type="dxa" w:w="58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The cost of data leakage, in 3 s: </w:t>
            </w:r>
            <w:r>
              <w:rPr>
                <w:b/>
                <w:bCs/>
              </w:rPr>
              <w:t xml:space="preserve">0.606</w:t>
            </w:r>
            <w:r>
              <w:rPr>
                <w:b w:val="false"/>
                <w:bCs w:val="false"/>
              </w:rPr>
              <w:t xml:space="preserve"> filtered correctly, 0.615 ignoring availability lag, </w:t>
            </w:r>
            <w:r>
              <w:rPr>
                <w:b/>
                <w:bCs/>
              </w:rPr>
              <w:t xml:space="preserve">0.954</w:t>
            </w:r>
            <w:r>
              <w:rPr>
                <w:b w:val="false"/>
                <w:bCs w:val="false"/>
              </w:rPr>
              <w:t xml:space="preserve"> with no filter at all — 0.35 AUC of pure fiction. Use this if they ask about leakage.</w:t>
            </w:r>
          </w:p>
        </w:tc>
      </w:tr>
      <w:tr>
        <w:trPr>
          <w:cantSplit/>
          <w:tblHeader w:val="false"/>
        </w:trPr>
        <w:tc>
          <w:tcPr>
            <w:tcW w:type="dxa" w:w="3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abstention</w:t>
            </w:r>
          </w:p>
        </w:tc>
        <w:tc>
          <w:tcPr>
            <w:tcW w:type="dxa" w:w="58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The Phase 4 gate: abstention against ranking, in money.</w:t>
            </w:r>
          </w:p>
        </w:tc>
      </w:tr>
      <w:tr>
        <w:trPr>
          <w:cantSplit/>
          <w:tblHeader w:val="false"/>
        </w:trPr>
        <w:tc>
          <w:tcPr>
            <w:tcW w:type="dxa" w:w="3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ladder</w:t>
            </w:r>
          </w:p>
        </w:tc>
        <w:tc>
          <w:tcPr>
            <w:tcW w:type="dxa" w:w="58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The Phase 5 gate: per-customer offer choice, 58% with CI 42–72%.</w:t>
            </w:r>
          </w:p>
        </w:tc>
      </w:tr>
      <w:tr>
        <w:trPr>
          <w:cantSplit/>
          <w:tblHeader w:val="false"/>
        </w:trPr>
        <w:tc>
          <w:tcPr>
            <w:tcW w:type="dxa" w:w="3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sensitivity</w:t>
            </w:r>
          </w:p>
        </w:tc>
        <w:tc>
          <w:tcPr>
            <w:tcW w:type="dxa" w:w="58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Why that gate could not be passed: break-even 0.040 against a delivered 0.010.</w:t>
            </w:r>
          </w:p>
        </w:tc>
      </w:tr>
      <w:tr>
        <w:trPr>
          <w:cantSplit/>
          <w:tblHeader w:val="false"/>
        </w:trPr>
        <w:tc>
          <w:tcPr>
            <w:tcW w:type="dxa" w:w="3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survival</w:t>
            </w:r>
          </w:p>
        </w:tc>
        <w:tc>
          <w:tcPr>
            <w:tcW w:type="dxa" w:w="58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Cox, Random Survival Forest and DeepSurv head-to-head. </w:t>
            </w:r>
            <w:r>
              <w:rPr>
                <w:b/>
                <w:bCs/>
              </w:rPr>
              <w:t xml:space="preserve">Needs `make install-survival` first</w:t>
            </w:r>
            <w:r>
              <w:rPr>
                <w:b w:val="false"/>
                <w:bCs w:val="false"/>
              </w:rPr>
              <w:t xml:space="preserve"> — do not run this cold.</w:t>
            </w:r>
          </w:p>
        </w:tc>
      </w:tr>
      <w:tr>
        <w:trPr>
          <w:cantSplit/>
          <w:tblHeader w:val="false"/>
        </w:trPr>
        <w:tc>
          <w:tcPr>
            <w:tcW w:type="dxa" w:w="3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check</w:t>
            </w:r>
          </w:p>
        </w:tc>
        <w:tc>
          <w:tcPr>
            <w:tcW w:type="dxa" w:w="58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Lint, 721 tests, calibration gates. A little over three minutes on mains power and longer on battery, so plug the laptop in: offer it, say it has already been run.</w:t>
            </w:r>
          </w:p>
        </w:tc>
      </w:tr>
      <w:tr>
        <w:trPr>
          <w:cantSplit/>
          <w:tblHeader w:val="false"/>
        </w:trPr>
        <w:tc>
          <w:tcPr>
            <w:tcW w:type="dxa" w:w="38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make help</w:t>
            </w:r>
          </w:p>
        </w:tc>
        <w:tc>
          <w:tcPr>
            <w:tcW w:type="dxa" w:w="58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Every command the project exposes.</w:t>
            </w:r>
          </w:p>
        </w:tc>
      </w:tr>
      <w:tr>
        <w:trPr>
          <w:cantSplit/>
          <w:tblHeader w:val="false"/>
        </w:trPr>
        <w:tc>
          <w:tcPr>
            <w:tcW w:type="dxa" w:w="38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40"/>
            </w:pPr>
            <w:r>
              <w:rPr>
                <w:rFonts w:ascii="Courier New" w:cs="Courier New" w:eastAsia="Courier New" w:hAnsi="Courier New"/>
                <w:color w:val="12263A"/>
                <w:sz w:val="16"/>
                <w:szCs w:val="16"/>
              </w:rPr>
              <w:t xml:space="preserve">open docs/DECISIONS.md</w:t>
            </w:r>
          </w:p>
        </w:tc>
        <w:tc>
          <w:tcPr>
            <w:tcW w:type="dxa" w:w="58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73 logged decisions with their reasoning, including the two bugs found in our own code and the prior-art correction.</w:t>
            </w:r>
          </w:p>
        </w:tc>
      </w:tr>
    </w:tbl>
    <w:p>
      <w:pPr>
        <w:pStyle w:val="Heading1"/>
      </w:pPr>
      <w:r>
        <w:t xml:space="preserve">4.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Symptom</w:t>
            </w:r>
          </w:p>
        </w:tc>
        <w:tc>
          <w:tcPr>
            <w:tcW w:type="dxa" w:w="6438"/>
            <w:tcBorders>
              <w:top w:val="single" w:color="D5DDE5" w:sz="4"/>
              <w:left w:val="single" w:color="D5DDE5" w:sz="4"/>
              <w:bottom w:val="single" w:color="D5DDE5" w:sz="4"/>
              <w:right w:val="single" w:color="D5DDE5" w:sz="4"/>
            </w:tcBorders>
            <w:shd w:fill="12263A" w:color="auto" w:val="clear"/>
            <w:tcMar>
              <w:top w:type="dxa" w:w="70"/>
              <w:left w:type="dxa" w:w="100"/>
              <w:bottom w:type="dxa" w:w="70"/>
              <w:right w:type="dxa" w:w="100"/>
            </w:tcMar>
            <w:vAlign w:val="top"/>
          </w:tcPr>
          <w:p>
            <w:pPr>
              <w:spacing w:after="0"/>
            </w:pPr>
            <w:r>
              <w:rPr>
                <w:b/>
                <w:bCs/>
                <w:color w:val="FFFFFF"/>
                <w:sz w:val="18"/>
                <w:szCs w:val="18"/>
              </w:rPr>
              <w:t xml:space="preserve">Do this</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Any command throws an error</w:t>
            </w:r>
          </w:p>
        </w:tc>
        <w:tc>
          <w:tcPr>
            <w:tcW w:type="dxa" w:w="64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
            </w:r>
            <w:r>
              <w:rPr>
                <w:b/>
                <w:bCs/>
              </w:rPr>
              <w:t xml:space="preserve">Do not debug in the room.</w:t>
            </w:r>
            <w:r>
              <w:rPr>
                <w:b w:val="false"/>
                <w:bCs w:val="false"/>
              </w:rPr>
              <w:t xml:space="preserve"> Say “I'll show you the trace afterwards”, switch to the demo video, and carry on. The video covers the same eight steps.</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`make: command not found`</w:t>
            </w:r>
          </w:p>
        </w:tc>
        <w:tc>
          <w:tcPr>
            <w:tcW w:type="dxa" w:w="64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You are on a machine without make. Run the underlying commands: `python -m retainiq.experiments.kill_test`, `python -m retainiq.cli preflight ...`</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`ModuleNotFoundError` / wrong Python</w:t>
            </w:r>
          </w:p>
        </w:tc>
        <w:tc>
          <w:tcPr>
            <w:tcW w:type="dxa" w:w="64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`source .venv/bin/activate`, then `make install`. This is why you run `make check` before they arrive.</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Preflight says READY when you wanted BLOCKED</w:t>
            </w:r>
          </w:p>
        </w:tc>
        <w:tc>
          <w:tcPr>
            <w:tcW w:type="dxa" w:w="64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The demo folder was left over from an earlier run with corrected units. `rm -rf demo &amp;&amp; make demo-data`, then retry.</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Browser does not open the file</w:t>
            </w:r>
          </w:p>
        </w:tc>
        <w:tc>
          <w:tcPr>
            <w:tcW w:type="dxa" w:w="64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The HTML is self-contained: drag `retention_dashboard.html` onto the browser window, or use the tab you pre-opened.</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Dashboard rows will not expand</w:t>
            </w:r>
          </w:p>
        </w:tc>
        <w:tc>
          <w:tcPr>
            <w:tcW w:type="dxa" w:w="64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Click directly on the row, not on the offer chip. If it still fails, the expanded view is in the video and in the storyboard.</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No internet in the room</w:t>
            </w:r>
          </w:p>
        </w:tc>
        <w:tc>
          <w:tcPr>
            <w:tcW w:type="dxa" w:w="6438"/>
            <w:tcBorders>
              <w:top w:val="single" w:color="D5DDE5" w:sz="4"/>
              <w:left w:val="single" w:color="D5DDE5" w:sz="4"/>
              <w:bottom w:val="single" w:color="D5DDE5" w:sz="4"/>
              <w:right w:val="single" w:color="D5DDE5" w:sz="4"/>
            </w:tcBorders>
            <w:tcMar>
              <w:top w:type="dxa" w:w="70"/>
              <w:left w:type="dxa" w:w="100"/>
              <w:bottom w:type="dxa" w:w="70"/>
              <w:right w:type="dxa" w:w="100"/>
            </w:tcMar>
            <w:vAlign w:val="top"/>
          </w:tcPr>
          <w:p>
            <w:pPr>
              <w:spacing w:after="0"/>
            </w:pPr>
            <w:r>
              <w:rPr>
                <w:b w:val="false"/>
                <w:bCs w:val="false"/>
              </w:rPr>
              <w:t xml:space="preserve">Nothing here needs it. Say so — it is a point in your favour.</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Laptop will not connect to the projector</w:t>
            </w:r>
          </w:p>
        </w:tc>
        <w:tc>
          <w:tcPr>
            <w:tcW w:type="dxa" w:w="6438"/>
            <w:tcBorders>
              <w:top w:val="single" w:color="D5DDE5" w:sz="4"/>
              <w:left w:val="single" w:color="D5DDE5" w:sz="4"/>
              <w:bottom w:val="single" w:color="D5DDE5" w:sz="4"/>
              <w:right w:val="single" w:color="D5DDE5" w:sz="4"/>
            </w:tcBorders>
            <w:shd w:fill="F2F5F8" w:color="auto" w:val="clear"/>
            <w:tcMar>
              <w:top w:type="dxa" w:w="70"/>
              <w:left w:type="dxa" w:w="100"/>
              <w:bottom w:type="dxa" w:w="70"/>
              <w:right w:type="dxa" w:w="100"/>
            </w:tcMar>
            <w:vAlign w:val="top"/>
          </w:tcPr>
          <w:p>
            <w:pPr>
              <w:spacing w:after="0"/>
            </w:pPr>
            <w:r>
              <w:rPr>
                <w:b w:val="false"/>
                <w:bCs w:val="false"/>
              </w:rPr>
              <w:t xml:space="preserve">Present from the exported PDF of the deck on their machine, and play the MP4. Keep both on a USB drive.</w:t>
            </w:r>
          </w:p>
        </w:tc>
      </w:tr>
    </w:tbl>
    <w:p>
      <w:pPr>
        <w:pStyle w:val="Heading1"/>
      </w:pPr>
      <w:r>
        <w:t xml:space="preserve">5. Running it on a machine that has never seen it</w:t>
      </w:r>
    </w:p>
    <w:p>
      <w:pPr>
        <w:spacing w:after="90"/>
      </w:pPr>
      <w:r>
        <w:rPr>
          <w:b w:val="false"/>
          <w:bCs w:val="false"/>
        </w:rPr>
        <w:t xml:space="preserve">Do this </w:t>
      </w:r>
      <w:r>
        <w:rPr>
          <w:b/>
          <w:bCs/>
        </w:rPr>
        <w:t xml:space="preserve">the day before</w:t>
      </w:r>
      <w:r>
        <w:rPr>
          <w:b w:val="false"/>
          <w:bCs w:val="false"/>
        </w:rPr>
        <w:t xml:space="preserve">, never in the room: the install needs the internet and a few minutes.</w:t>
      </w:r>
    </w:p>
    <w:p>
      <w:pPr>
        <w:shd w:fill="0E1B29" w:color="auto" w:val="clear"/>
        <w:spacing w:after="40" w:before="40"/>
        <w:ind w:left="60" w:right="60"/>
      </w:pPr>
      <w:r>
        <w:rPr>
          <w:rFonts w:ascii="Courier New" w:cs="Courier New" w:eastAsia="Courier New" w:hAnsi="Courier New"/>
          <w:color w:val="D6E2EE"/>
          <w:sz w:val="17"/>
          <w:szCs w:val="17"/>
        </w:rPr>
        <w:t xml:space="preserve">git clone https://github.com/PrashamJ17/PBL-Proj.git</w:t>
      </w:r>
    </w:p>
    <w:p>
      <w:pPr>
        <w:shd w:fill="0E1B29" w:color="auto" w:val="clear"/>
        <w:spacing w:after="40" w:before="40"/>
        <w:ind w:left="60" w:right="60"/>
      </w:pPr>
      <w:r>
        <w:rPr>
          <w:rFonts w:ascii="Courier New" w:cs="Courier New" w:eastAsia="Courier New" w:hAnsi="Courier New"/>
          <w:color w:val="D6E2EE"/>
          <w:sz w:val="17"/>
          <w:szCs w:val="17"/>
        </w:rPr>
        <w:t xml:space="preserve">cd PBL-Proj &amp;&amp; python3 -m venv .venv &amp;&amp; source .venv/bin/activate</w:t>
      </w:r>
    </w:p>
    <w:p>
      <w:pPr>
        <w:shd w:fill="0E1B29" w:color="auto" w:val="clear"/>
        <w:spacing w:after="40" w:before="40"/>
        <w:ind w:left="60" w:right="60"/>
      </w:pPr>
      <w:r>
        <w:rPr>
          <w:rFonts w:ascii="Courier New" w:cs="Courier New" w:eastAsia="Courier New" w:hAnsi="Courier New"/>
          <w:color w:val="D6E2EE"/>
          <w:sz w:val="17"/>
          <w:szCs w:val="17"/>
        </w:rPr>
        <w:t xml:space="preserve">make install        # needs Python 3.11 or newer</w:t>
      </w:r>
    </w:p>
    <w:p>
      <w:pPr>
        <w:shd w:fill="0E1B29" w:color="auto" w:val="clear"/>
        <w:spacing w:after="40" w:before="40"/>
        <w:ind w:left="60" w:right="60"/>
      </w:pPr>
      <w:r>
        <w:rPr>
          <w:rFonts w:ascii="Courier New" w:cs="Courier New" w:eastAsia="Courier New" w:hAnsi="Courier New"/>
          <w:color w:val="D6E2EE"/>
          <w:sz w:val="17"/>
          <w:szCs w:val="17"/>
        </w:rPr>
        <w:t xml:space="preserve">make check          # expect 721 passed, RESULT: ALL TARGETS MET twice</w:t>
      </w:r>
    </w:p>
    <w:p>
      <w:pPr>
        <w:spacing w:after="90"/>
      </w:pPr>
      <w:r>
        <w:rPr>
          <w:b w:val="false"/>
          <w:bCs w:val="false"/>
        </w:rPr>
        <w:t xml:space="preserve">Then run section 0 to warm the caches. If the machine is Windows without make, every target is a plain Python command — `make help` lists them and the Makefile shows each one.</w:t>
      </w:r>
    </w:p>
    <w:p>
      <w:pPr>
        <w:pStyle w:val="Heading1"/>
      </w:pPr>
      <w:r>
        <w:t xml:space="preserve">6. The three things to say while your hands are busy</w:t>
      </w:r>
    </w:p>
    <w:p>
      <w:pPr>
        <w:pStyle w:val="ListParagraph"/>
        <w:numPr>
          <w:ilvl w:val="0"/>
          <w:numId w:val="2"/>
        </w:numPr>
        <w:spacing w:after="60"/>
      </w:pPr>
      <w:r>
        <w:rPr>
          <w:b w:val="false"/>
          <w:bCs w:val="false"/>
        </w:rPr>
        <w:t xml:space="preserve">While preflight blocks the file: </w:t>
      </w:r>
      <w:r>
        <w:rPr>
          <w:b/>
          <w:bCs/>
        </w:rPr>
        <w:t xml:space="preserve">“The most valuable thing this does is refuse to produce a confident wrong number.”</w:t>
      </w:r>
      <w:r>
        <w:rPr>
          <w:b w:val="false"/>
          <w:bCs w:val="false"/>
        </w:rPr>
        <w:t xml:space="preserve"/>
      </w:r>
    </w:p>
    <w:p>
      <w:pPr>
        <w:pStyle w:val="ListParagraph"/>
        <w:numPr>
          <w:ilvl w:val="0"/>
          <w:numId w:val="2"/>
        </w:numPr>
        <w:spacing w:after="60"/>
      </w:pPr>
      <w:r>
        <w:rPr>
          <w:b w:val="false"/>
          <w:bCs w:val="false"/>
        </w:rPr>
        <w:t xml:space="preserve">While the dashboard loads: </w:t>
      </w:r>
      <w:r>
        <w:rPr>
          <w:b/>
          <w:bCs/>
        </w:rPr>
        <w:t xml:space="preserve">“It recommends contacting 142 of 472 customers and leaving 330 alone. Abstaining is a result, not a failure.”</w:t>
      </w:r>
      <w:r>
        <w:rPr>
          <w:b w:val="false"/>
          <w:bCs w:val="false"/>
        </w:rPr>
        <w:t xml:space="preserve"/>
      </w:r>
    </w:p>
    <w:p>
      <w:pPr>
        <w:pStyle w:val="ListParagraph"/>
        <w:numPr>
          <w:ilvl w:val="0"/>
          <w:numId w:val="2"/>
        </w:numPr>
        <w:spacing w:after="60"/>
      </w:pPr>
      <w:r>
        <w:rPr>
          <w:b w:val="false"/>
          <w:bCs w:val="false"/>
        </w:rPr>
        <w:t xml:space="preserve">While the holdout table prints: </w:t>
      </w:r>
      <w:r>
        <w:rPr>
          <w:b/>
          <w:bCs/>
        </w:rPr>
        <w:t xml:space="preserve">“This is the finding I did not expect: at this scale, the business cannot measure its own campaign.”</w:t>
      </w:r>
      <w:r>
        <w:rPr>
          <w:b w:val="false"/>
          <w:bCs w:val="false"/>
        </w:rPr>
        <w:t xml:space="preserve"/>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7A6"/>
        <w:sz w:val="16"/>
        <w:szCs w:val="16"/>
      </w:rPr>
      <w:t xml:space="preserve">RetainIQ · live demo runbook · page </w:t>
    </w:r>
    <w:r>
      <w:rPr>
        <w:color w:val="8A97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Cambria" w:cs="Cambria" w:eastAsia="Cambria" w:hAnsi="Cambria"/>
      <w:b/>
      <w:bCs/>
      <w:color w:val="12263A"/>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0B7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RetainIQ — live demo runbook</dc:title>
  <dc:creator>Prasham Jain</dc:creator>
  <cp:lastModifiedBy>Un-named</cp:lastModifiedBy>
  <cp:revision>1</cp:revision>
  <dcterms:created xsi:type="dcterms:W3CDTF">2026-10-08T15:06:30.467Z</dcterms:created>
  <dcterms:modified xsi:type="dcterms:W3CDTF">2026-10-08T15:06:30.467Z</dcterms:modified>
</cp:coreProperties>
</file>

<file path=docProps/custom.xml><?xml version="1.0" encoding="utf-8"?>
<Properties xmlns="http://schemas.openxmlformats.org/officeDocument/2006/custom-properties" xmlns:vt="http://schemas.openxmlformats.org/officeDocument/2006/docPropsVTypes"/>
</file>