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Family Law Case – Custody Dispute</w:t>
      </w:r>
    </w:p>
    <w:p>
      <w:r>
        <w:t>This document summarizes proceedings in a family law custody dispute between former spouses Omar Al-Qahtani and Lina Al-Otaibi.</w:t>
      </w:r>
    </w:p>
    <w:p>
      <w:r>
        <w:t>The claimant requested sole custody of their seven-year-old child, citing concerns related to housing stability and school attendance.</w:t>
        <w:br/>
        <w:t>The respondent requested joint custody and submitted evidence of stable housing, school enrollment, and financial support.</w:t>
      </w:r>
    </w:p>
    <w:p>
      <w:r>
        <w:t>The court ordered a social welfare assessment to evaluate the child’s living conditions with both parents.</w:t>
        <w:br/>
        <w:t>The final custody determination was postponed pending submission of the assessment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