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Contract Breach – Supply Agreement</w:t>
      </w:r>
    </w:p>
    <w:p>
      <w:r>
        <w:t>This memorandum analyzes a breach of contract dispute between Al-Rayan Trading Company and Gulf Industrial Supplies arising from a supply agreement dated June 18, 2023.</w:t>
      </w:r>
    </w:p>
    <w:p>
      <w:r>
        <w:t>Under the agreement, Gulf Industrial Supplies was obligated to deliver specialized industrial valves within sixty calendar days.</w:t>
        <w:br/>
        <w:t>Delivery was delayed by over ninety days, causing the claimant to lose a government procurement contract.</w:t>
      </w:r>
    </w:p>
    <w:p>
      <w:r>
        <w:t>The supplier argued that international shipping delays constituted force majeure.</w:t>
        <w:br/>
        <w:t>The memorandum concludes that the force majeure clause does not apply, as shipping delays were foreseeable at the time of contracting.</w:t>
      </w:r>
    </w:p>
    <w:p>
      <w:r>
        <w:t>The claimant seeks reimbursement of advance payments totaling SAR 1.2 million and compensation for lost profits.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